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F5" w:rsidRDefault="00A54AF5"/>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A54AF5">
        <w:trPr>
          <w:trHeight w:val="2835"/>
        </w:trPr>
        <w:tc>
          <w:tcPr>
            <w:tcW w:w="1985" w:type="dxa"/>
          </w:tcPr>
          <w:sdt>
            <w:sdtPr>
              <w:alias w:val="Vælg dato"/>
              <w:tag w:val="Vælg dato"/>
              <w:id w:val="-696322164"/>
              <w:placeholder>
                <w:docPart w:val="1102700AAA9243BFBFA7499DA621CF99"/>
              </w:placeholder>
              <w:date w:fullDate="2014-12-12T00:00:00Z">
                <w:dateFormat w:val="d. MMMM yyyy"/>
                <w:lid w:val="da-DK"/>
                <w:storeMappedDataAs w:val="dateTime"/>
                <w:calendar w:val="gregorian"/>
              </w:date>
            </w:sdtPr>
            <w:sdtEndPr/>
            <w:sdtContent>
              <w:p w:rsidR="00F37F63" w:rsidRDefault="00D249C7" w:rsidP="00F37F63">
                <w:pPr>
                  <w:pStyle w:val="Hjrespaltetekst"/>
                  <w:rPr>
                    <w:rFonts w:ascii="Garamond" w:hAnsi="Garamond"/>
                    <w:noProof w:val="0"/>
                    <w:color w:val="auto"/>
                    <w:spacing w:val="0"/>
                    <w:sz w:val="22"/>
                  </w:rPr>
                </w:pPr>
                <w:r>
                  <w:t>12. december 2014</w:t>
                </w:r>
              </w:p>
            </w:sdtContent>
          </w:sdt>
          <w:p w:rsidR="00F37F63" w:rsidRDefault="00F37F63" w:rsidP="00F37F63">
            <w:pPr>
              <w:pStyle w:val="Template-Dato"/>
            </w:pPr>
            <w:r>
              <w:t xml:space="preserve">J.nr. </w:t>
            </w:r>
            <w:bookmarkStart w:id="0" w:name="sagsnr"/>
            <w:r w:rsidR="00A84924">
              <w:t>14-3199081</w:t>
            </w:r>
            <w:bookmarkEnd w:id="0"/>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Default="00600E3E" w:rsidP="00051622">
      <w:r w:rsidRPr="00684545">
        <w:t xml:space="preserve">Til udvalgets orientering </w:t>
      </w:r>
      <w:r>
        <w:t>vedlægges høringsskema samt de modtagne høringssvar vedr</w:t>
      </w:r>
      <w:r>
        <w:t>ø</w:t>
      </w:r>
      <w:r>
        <w:t>rende forslag til</w:t>
      </w:r>
      <w:r w:rsidRPr="00684545">
        <w:t xml:space="preserve"> </w:t>
      </w:r>
      <w:r w:rsidR="00051622">
        <w:t>lov om ændring af tonnageskatteloven og sømandsbeskatningsloven (Udvidelse af tonnageskatteordningen med en række specialskibe</w:t>
      </w:r>
      <w:r w:rsidR="00006F66">
        <w:t>).</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A84924">
      <w:pPr>
        <w:keepNext/>
        <w:keepLines/>
        <w:jc w:val="right"/>
      </w:pPr>
      <w:r>
        <w:t xml:space="preserve">/ </w:t>
      </w:r>
      <w:r w:rsidR="00A84924">
        <w:t>Lise Bo Nielsen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0"/>
        <w:gridCol w:w="213"/>
        <w:gridCol w:w="3443"/>
        <w:gridCol w:w="230"/>
        <w:gridCol w:w="3443"/>
      </w:tblGrid>
      <w:tr w:rsidR="00600E3E" w:rsidTr="00A30808">
        <w:trPr>
          <w:tblHeader/>
        </w:trPr>
        <w:tc>
          <w:tcPr>
            <w:tcW w:w="2310" w:type="dxa"/>
            <w:shd w:val="clear" w:color="auto" w:fill="D1C5C3"/>
            <w:vAlign w:val="center"/>
          </w:tcPr>
          <w:p w:rsidR="00600E3E" w:rsidRDefault="00600E3E" w:rsidP="00B9508F">
            <w:pPr>
              <w:pStyle w:val="Tabel-KolonneOverskrift"/>
            </w:pPr>
            <w:r>
              <w:lastRenderedPageBreak/>
              <w:t>Organisation</w:t>
            </w:r>
          </w:p>
        </w:tc>
        <w:tc>
          <w:tcPr>
            <w:tcW w:w="213" w:type="dxa"/>
            <w:shd w:val="clear" w:color="auto" w:fill="FFFFFF" w:themeFill="background1"/>
            <w:vAlign w:val="center"/>
          </w:tcPr>
          <w:p w:rsidR="00600E3E" w:rsidRDefault="00600E3E" w:rsidP="00B9508F">
            <w:pPr>
              <w:keepNext/>
              <w:keepLines/>
            </w:pPr>
          </w:p>
        </w:tc>
        <w:tc>
          <w:tcPr>
            <w:tcW w:w="3443" w:type="dxa"/>
            <w:shd w:val="clear" w:color="auto" w:fill="D1C5C3" w:themeFill="accent3"/>
            <w:vAlign w:val="center"/>
          </w:tcPr>
          <w:p w:rsidR="00600E3E" w:rsidRDefault="00600E3E" w:rsidP="00B9508F">
            <w:pPr>
              <w:pStyle w:val="Tabel-KolonneOverskrift"/>
            </w:pPr>
            <w:r>
              <w:t>Bemærkninger</w:t>
            </w:r>
          </w:p>
        </w:tc>
        <w:tc>
          <w:tcPr>
            <w:tcW w:w="230" w:type="dxa"/>
            <w:shd w:val="clear" w:color="auto" w:fill="FFFFFF" w:themeFill="background1"/>
            <w:vAlign w:val="center"/>
          </w:tcPr>
          <w:p w:rsidR="00600E3E" w:rsidRDefault="00600E3E" w:rsidP="00B9508F">
            <w:pPr>
              <w:keepNext/>
              <w:keepLines/>
            </w:pPr>
          </w:p>
        </w:tc>
        <w:tc>
          <w:tcPr>
            <w:tcW w:w="3443" w:type="dxa"/>
            <w:shd w:val="clear" w:color="auto" w:fill="14143C" w:themeFill="accent1"/>
            <w:vAlign w:val="center"/>
          </w:tcPr>
          <w:p w:rsidR="00600E3E" w:rsidRDefault="00600E3E" w:rsidP="00B9508F">
            <w:pPr>
              <w:pStyle w:val="Tabel-KolonneOverskriftHvid"/>
            </w:pPr>
            <w:r>
              <w:t>Kommentarer</w:t>
            </w:r>
          </w:p>
        </w:tc>
      </w:tr>
      <w:tr w:rsidR="00345F79" w:rsidRPr="00B5346F" w:rsidTr="004D2BD7">
        <w:tc>
          <w:tcPr>
            <w:tcW w:w="2310" w:type="dxa"/>
            <w:tcBorders>
              <w:bottom w:val="single" w:sz="4" w:space="0" w:color="D1C5C3" w:themeColor="accent3"/>
            </w:tcBorders>
            <w:shd w:val="clear" w:color="auto" w:fill="FBF9F9"/>
          </w:tcPr>
          <w:p w:rsidR="00345F79" w:rsidRDefault="00345F79" w:rsidP="00FD22D2">
            <w:pPr>
              <w:pStyle w:val="Tabel-BrdtekstmedafstandptekstGaramond"/>
              <w:rPr>
                <w:i/>
              </w:rPr>
            </w:pPr>
            <w:r>
              <w:rPr>
                <w:i/>
              </w:rPr>
              <w:t>Bech</w:t>
            </w:r>
            <w:r w:rsidR="00FD22D2">
              <w:rPr>
                <w:i/>
              </w:rPr>
              <w:t>-</w:t>
            </w:r>
            <w:r>
              <w:rPr>
                <w:i/>
              </w:rPr>
              <w:t>Bruun</w:t>
            </w:r>
          </w:p>
        </w:tc>
        <w:tc>
          <w:tcPr>
            <w:tcW w:w="213" w:type="dxa"/>
            <w:shd w:val="clear" w:color="auto" w:fill="FFFFFF" w:themeFill="background1"/>
          </w:tcPr>
          <w:p w:rsidR="00345F79" w:rsidRPr="00B5346F" w:rsidRDefault="00345F79" w:rsidP="00712257"/>
        </w:tc>
        <w:tc>
          <w:tcPr>
            <w:tcW w:w="3443" w:type="dxa"/>
            <w:tcBorders>
              <w:bottom w:val="single" w:sz="4" w:space="0" w:color="D1C5C3" w:themeColor="accent3"/>
            </w:tcBorders>
            <w:shd w:val="clear" w:color="auto" w:fill="FBF9F9"/>
          </w:tcPr>
          <w:p w:rsidR="00C15E95" w:rsidRDefault="00C15E95" w:rsidP="00C15E95">
            <w:pPr>
              <w:pStyle w:val="Tabel-BrdtekstmedafstandptekstGaramond"/>
            </w:pPr>
            <w:r>
              <w:t>Ifølge Bech-Bruun har Folketinget siden 2005 forudsat, at Kommiss</w:t>
            </w:r>
            <w:r>
              <w:t>i</w:t>
            </w:r>
            <w:r>
              <w:t xml:space="preserve">onens retningslinjer for statsstøtte til søtransporten blev udnyttet i videst muligt omfang. </w:t>
            </w:r>
          </w:p>
          <w:p w:rsidR="00C15E95" w:rsidRDefault="00C15E95" w:rsidP="00C15E95">
            <w:pPr>
              <w:pStyle w:val="Tabel-BrdtekstmedafstandptekstGaramond"/>
            </w:pPr>
          </w:p>
          <w:p w:rsidR="00C15E95" w:rsidRDefault="00C15E95" w:rsidP="00C16D63">
            <w:pPr>
              <w:pStyle w:val="Tabel-BrdtekstmedafstandptekstGaramond"/>
            </w:pPr>
            <w:r>
              <w:t xml:space="preserve">Efter Bech-Bruuns opfattelse har forligspartierne bag </w:t>
            </w:r>
            <w:r w:rsidRPr="00CD62D8">
              <w:rPr>
                <w:i/>
              </w:rPr>
              <w:t xml:space="preserve">Aftale om </w:t>
            </w:r>
            <w:r w:rsidR="00CD62D8" w:rsidRPr="00CD62D8">
              <w:rPr>
                <w:i/>
              </w:rPr>
              <w:t xml:space="preserve">en </w:t>
            </w:r>
            <w:r w:rsidRPr="00CD62D8">
              <w:rPr>
                <w:i/>
              </w:rPr>
              <w:t>vækstpakke</w:t>
            </w:r>
            <w:r>
              <w:t xml:space="preserve"> tilsyneladende ændret opfattelse i forhold til </w:t>
            </w:r>
            <w:r w:rsidR="00C16D63">
              <w:t>holdningen</w:t>
            </w:r>
            <w:r>
              <w:t xml:space="preserve"> i 2005, da man med forslaget til </w:t>
            </w:r>
            <w:r w:rsidR="004C61F8">
              <w:t xml:space="preserve">sømandsbeskatningslovens </w:t>
            </w:r>
            <w:r>
              <w:t xml:space="preserve">§ 5 </w:t>
            </w:r>
            <w:r w:rsidR="004C61F8">
              <w:t>nu indskrænker</w:t>
            </w:r>
            <w:r>
              <w:t xml:space="preserve"> området for DIS-ordningen</w:t>
            </w:r>
            <w:r w:rsidR="004C61F8">
              <w:t>.</w:t>
            </w:r>
            <w:r>
              <w:t xml:space="preserve"> </w:t>
            </w:r>
          </w:p>
          <w:p w:rsidR="00C15E95" w:rsidRDefault="00C15E95" w:rsidP="00BF6F7E">
            <w:pPr>
              <w:pStyle w:val="Tabel-BrdtekstmedafstandptekstGaramond"/>
            </w:pPr>
          </w:p>
          <w:p w:rsidR="00C570E1" w:rsidRDefault="00C570E1" w:rsidP="00BF6F7E">
            <w:pPr>
              <w:pStyle w:val="Tabel-BrdtekstmedafstandptekstGaramond"/>
            </w:pPr>
          </w:p>
          <w:p w:rsidR="00C570E1" w:rsidRDefault="00C570E1" w:rsidP="00BF6F7E">
            <w:pPr>
              <w:pStyle w:val="Tabel-BrdtekstmedafstandptekstGaramond"/>
            </w:pPr>
          </w:p>
          <w:p w:rsidR="00C570E1" w:rsidRDefault="00C570E1" w:rsidP="00BF6F7E">
            <w:pPr>
              <w:pStyle w:val="Tabel-BrdtekstmedafstandptekstGaramond"/>
            </w:pPr>
          </w:p>
          <w:p w:rsidR="00C570E1" w:rsidRDefault="00C570E1" w:rsidP="00BF6F7E">
            <w:pPr>
              <w:pStyle w:val="Tabel-BrdtekstmedafstandptekstGaramond"/>
            </w:pPr>
          </w:p>
          <w:p w:rsidR="00C570E1" w:rsidRDefault="00C570E1" w:rsidP="00BF6F7E">
            <w:pPr>
              <w:pStyle w:val="Tabel-BrdtekstmedafstandptekstGaramond"/>
            </w:pPr>
          </w:p>
          <w:p w:rsidR="00C15E95" w:rsidRDefault="004C61F8" w:rsidP="004A43F6">
            <w:pPr>
              <w:pStyle w:val="Tabel-BrdtekstmedafstandptekstGaramond"/>
            </w:pPr>
            <w:r>
              <w:t>Der savnes i den forbindelse</w:t>
            </w:r>
            <w:r w:rsidR="008C0C60">
              <w:t xml:space="preserve"> en</w:t>
            </w:r>
            <w:r w:rsidR="00C15E95">
              <w:t xml:space="preserve"> stillingtagen til, om refusionsor</w:t>
            </w:r>
            <w:r w:rsidR="00C15E95">
              <w:t>d</w:t>
            </w:r>
            <w:r w:rsidR="00C15E95">
              <w:t>ningen (den anden særlige stat</w:t>
            </w:r>
            <w:r w:rsidR="00C15E95">
              <w:t>s</w:t>
            </w:r>
            <w:r w:rsidR="00C15E95">
              <w:t>støtteordning) i sømandsbeska</w:t>
            </w:r>
            <w:r w:rsidR="00C15E95">
              <w:t>t</w:t>
            </w:r>
            <w:r w:rsidR="00C15E95">
              <w:t>ningslovens § 10 fortsat vil kunne opretholdes for visse specialskibe, som fremover vil kunne rummes både af den udvidede tonnageska</w:t>
            </w:r>
            <w:r w:rsidR="00C15E95">
              <w:t>t</w:t>
            </w:r>
            <w:r w:rsidR="00C15E95">
              <w:t xml:space="preserve">telov og af </w:t>
            </w:r>
            <w:r w:rsidR="00811FF5">
              <w:t>re</w:t>
            </w:r>
            <w:r w:rsidR="00C15E95">
              <w:t>fusionsordningen.</w:t>
            </w:r>
          </w:p>
          <w:p w:rsidR="00C15E95" w:rsidRDefault="00C15E95" w:rsidP="00712257">
            <w:pPr>
              <w:pStyle w:val="Tabel-BrdtekstmedafstandptekstGaramond"/>
            </w:pPr>
          </w:p>
          <w:p w:rsidR="00477E01" w:rsidRDefault="00FA176D" w:rsidP="00712257">
            <w:pPr>
              <w:pStyle w:val="Tabel-BrdtekstmedafstandptekstGaramond"/>
            </w:pPr>
            <w:r>
              <w:t>Det</w:t>
            </w:r>
            <w:r w:rsidR="009A31EA">
              <w:t xml:space="preserve"> </w:t>
            </w:r>
            <w:r w:rsidR="007C458F">
              <w:t>bør</w:t>
            </w:r>
            <w:r w:rsidR="00477E01">
              <w:t xml:space="preserve"> præciseres, at entrepr</w:t>
            </w:r>
            <w:r w:rsidR="00477E01">
              <w:t>e</w:t>
            </w:r>
            <w:r w:rsidR="00477E01">
              <w:t>nørmæssig aktivitet til søs</w:t>
            </w:r>
            <w:r w:rsidR="007C458F">
              <w:t xml:space="preserve"> </w:t>
            </w:r>
            <w:r w:rsidR="0050247F">
              <w:t>som følge af</w:t>
            </w:r>
            <w:r w:rsidR="00C74FD0">
              <w:t xml:space="preserve"> </w:t>
            </w:r>
            <w:r w:rsidR="001630F2">
              <w:t>lovforslaget</w:t>
            </w:r>
            <w:r w:rsidR="007C458F">
              <w:t xml:space="preserve"> </w:t>
            </w:r>
            <w:r w:rsidR="005C28CE">
              <w:t xml:space="preserve">må </w:t>
            </w:r>
            <w:r w:rsidR="007C458F">
              <w:t xml:space="preserve">anses for en integreret </w:t>
            </w:r>
            <w:r w:rsidR="001630F2">
              <w:t xml:space="preserve">del af </w:t>
            </w:r>
            <w:r w:rsidR="00FE2ED6">
              <w:t xml:space="preserve">aktivitet med </w:t>
            </w:r>
            <w:r w:rsidR="001630F2">
              <w:t>søtransport</w:t>
            </w:r>
            <w:r w:rsidR="00FE2ED6">
              <w:t xml:space="preserve">. </w:t>
            </w:r>
            <w:r w:rsidR="001630F2">
              <w:t>Det bør i den forbi</w:t>
            </w:r>
            <w:r w:rsidR="001630F2">
              <w:t>n</w:t>
            </w:r>
            <w:r w:rsidR="001630F2">
              <w:t>delse præciseres, at lovforslaget gør endelig</w:t>
            </w:r>
            <w:r w:rsidR="00FE2ED6">
              <w:t>t</w:t>
            </w:r>
            <w:r w:rsidR="001630F2">
              <w:t xml:space="preserve"> op med begrebet en</w:t>
            </w:r>
            <w:r w:rsidR="001630F2">
              <w:t>t</w:t>
            </w:r>
            <w:r w:rsidR="001630F2">
              <w:t>reprenørmæssig aktivitet</w:t>
            </w:r>
            <w:r w:rsidR="005C28CE">
              <w:t>, som de</w:t>
            </w:r>
            <w:r w:rsidR="005C28CE">
              <w:t>t</w:t>
            </w:r>
            <w:r w:rsidR="005C28CE">
              <w:t xml:space="preserve">te er afgrænset i Skatteministeriets </w:t>
            </w:r>
            <w:r w:rsidR="001630F2">
              <w:t xml:space="preserve">meddelelse </w:t>
            </w:r>
            <w:r w:rsidR="00FE2ED6">
              <w:t>offentliggjort i SKM</w:t>
            </w:r>
            <w:r w:rsidR="001630F2">
              <w:t>2006.602</w:t>
            </w:r>
            <w:proofErr w:type="gramStart"/>
            <w:r w:rsidR="00FE2ED6">
              <w:t>.</w:t>
            </w:r>
            <w:r w:rsidR="001630F2">
              <w:t>DEP</w:t>
            </w:r>
            <w:proofErr w:type="gramEnd"/>
            <w:r w:rsidR="001630F2">
              <w:t>.</w:t>
            </w:r>
          </w:p>
          <w:p w:rsidR="00477E01" w:rsidRDefault="00477E01" w:rsidP="00712257">
            <w:pPr>
              <w:pStyle w:val="Tabel-BrdtekstmedafstandptekstGaramond"/>
            </w:pPr>
          </w:p>
          <w:p w:rsidR="00477E01" w:rsidRDefault="00477E01" w:rsidP="00712257">
            <w:pPr>
              <w:pStyle w:val="Tabel-BrdtekstmedafstandptekstGaramond"/>
            </w:pPr>
          </w:p>
          <w:p w:rsidR="00477E01" w:rsidRDefault="00477E01" w:rsidP="00712257">
            <w:pPr>
              <w:pStyle w:val="Tabel-BrdtekstmedafstandptekstGaramond"/>
            </w:pPr>
          </w:p>
          <w:p w:rsidR="00477E01" w:rsidRDefault="00477E01" w:rsidP="00712257">
            <w:pPr>
              <w:pStyle w:val="Tabel-BrdtekstmedafstandptekstGaramond"/>
            </w:pPr>
          </w:p>
          <w:p w:rsidR="00477E01" w:rsidRDefault="00477E01" w:rsidP="00712257">
            <w:pPr>
              <w:pStyle w:val="Tabel-BrdtekstmedafstandptekstGaramond"/>
            </w:pPr>
          </w:p>
          <w:p w:rsidR="002A2AB0" w:rsidRDefault="002A2AB0"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F139CB" w:rsidRDefault="00F139CB" w:rsidP="00712257">
            <w:pPr>
              <w:pStyle w:val="Tabel-BrdtekstmedafstandptekstGaramond"/>
            </w:pPr>
          </w:p>
          <w:p w:rsidR="00310E14" w:rsidRDefault="00310E14" w:rsidP="00712257">
            <w:pPr>
              <w:pStyle w:val="Tabel-BrdtekstmedafstandptekstGaramond"/>
            </w:pPr>
          </w:p>
          <w:p w:rsidR="00310E14" w:rsidRDefault="00310E14"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310E14" w:rsidRDefault="00310E14" w:rsidP="00712257">
            <w:pPr>
              <w:pStyle w:val="Tabel-BrdtekstmedafstandptekstGaramond"/>
            </w:pPr>
          </w:p>
          <w:p w:rsidR="00FA6373" w:rsidRDefault="00FA6373" w:rsidP="00712257">
            <w:pPr>
              <w:pStyle w:val="Tabel-BrdtekstmedafstandptekstGaramond"/>
            </w:pPr>
          </w:p>
          <w:p w:rsidR="000901FD" w:rsidRDefault="000901FD"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563670" w:rsidRDefault="00563670"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E62FD2" w:rsidRDefault="00E62FD2" w:rsidP="00712257">
            <w:pPr>
              <w:pStyle w:val="Tabel-BrdtekstmedafstandptekstGaramond"/>
            </w:pPr>
          </w:p>
          <w:p w:rsidR="009C0D27" w:rsidRDefault="009C0D27" w:rsidP="00712257">
            <w:pPr>
              <w:pStyle w:val="Tabel-BrdtekstmedafstandptekstGaramond"/>
            </w:pPr>
          </w:p>
          <w:p w:rsidR="009C0D27" w:rsidRDefault="009C0D27" w:rsidP="00712257">
            <w:pPr>
              <w:pStyle w:val="Tabel-BrdtekstmedafstandptekstGaramond"/>
            </w:pPr>
          </w:p>
          <w:p w:rsidR="00E62FD2" w:rsidRDefault="00E62FD2" w:rsidP="00712257">
            <w:pPr>
              <w:pStyle w:val="Tabel-BrdtekstmedafstandptekstGaramond"/>
            </w:pPr>
          </w:p>
          <w:p w:rsidR="000901FD" w:rsidRDefault="000901FD" w:rsidP="00712257">
            <w:pPr>
              <w:pStyle w:val="Tabel-BrdtekstmedafstandptekstGaramond"/>
            </w:pPr>
          </w:p>
          <w:p w:rsidR="002A2AB0" w:rsidRDefault="002A2AB0" w:rsidP="00712257">
            <w:pPr>
              <w:pStyle w:val="Tabel-BrdtekstmedafstandptekstGaramond"/>
            </w:pPr>
            <w:r>
              <w:t xml:space="preserve">Det </w:t>
            </w:r>
            <w:r w:rsidR="00125EB8">
              <w:t>bør desuden</w:t>
            </w:r>
            <w:r>
              <w:t xml:space="preserve"> præcisere</w:t>
            </w:r>
            <w:r w:rsidR="00125EB8">
              <w:t>s</w:t>
            </w:r>
            <w:r>
              <w:t xml:space="preserve">, </w:t>
            </w:r>
            <w:r w:rsidR="00125EB8">
              <w:t>at</w:t>
            </w:r>
            <w:r>
              <w:t xml:space="preserve"> det er uden betydning, om </w:t>
            </w:r>
            <w:r w:rsidR="00E45D45">
              <w:t>det pågæ</w:t>
            </w:r>
            <w:r w:rsidR="00E45D45">
              <w:t>l</w:t>
            </w:r>
            <w:r w:rsidR="00E45D45">
              <w:t>dende specialskib medtager last fra havn eller ej, når blot skibet invo</w:t>
            </w:r>
            <w:r w:rsidR="00E45D45">
              <w:t>l</w:t>
            </w:r>
            <w:r w:rsidR="00E45D45">
              <w:t xml:space="preserve">veres i bygning eller reparation af </w:t>
            </w:r>
            <w:r w:rsidR="00E45D45">
              <w:lastRenderedPageBreak/>
              <w:t xml:space="preserve">f.eks. en vindmøllekonstruktion. </w:t>
            </w:r>
            <w:r w:rsidR="003248CB">
              <w:t>Der henvises i den forbindelse til sag C</w:t>
            </w:r>
            <w:r w:rsidR="00E62FD2">
              <w:t>-</w:t>
            </w:r>
            <w:r w:rsidR="003248CB">
              <w:t>456/04 Agip Petroli</w:t>
            </w:r>
            <w:r w:rsidR="00E62FD2">
              <w:t xml:space="preserve"> </w:t>
            </w:r>
            <w:proofErr w:type="spellStart"/>
            <w:r w:rsidR="00E62FD2">
              <w:t>SpA</w:t>
            </w:r>
            <w:proofErr w:type="spellEnd"/>
            <w:r w:rsidR="003248CB">
              <w:t xml:space="preserve">. </w:t>
            </w:r>
          </w:p>
          <w:p w:rsidR="00521275" w:rsidRDefault="00521275" w:rsidP="00712257">
            <w:pPr>
              <w:pStyle w:val="Tabel-BrdtekstmedafstandptekstGaramond"/>
            </w:pPr>
          </w:p>
          <w:p w:rsidR="00125EB8" w:rsidRDefault="00125EB8" w:rsidP="008648B8">
            <w:pPr>
              <w:pStyle w:val="Tabel-BrdtekstmedafstandptekstGaramond"/>
            </w:pPr>
          </w:p>
          <w:p w:rsidR="00125EB8" w:rsidRDefault="00125EB8" w:rsidP="008648B8">
            <w:pPr>
              <w:pStyle w:val="Tabel-BrdtekstmedafstandptekstGaramond"/>
            </w:pPr>
          </w:p>
          <w:p w:rsidR="00125EB8" w:rsidRDefault="00125EB8" w:rsidP="008648B8">
            <w:pPr>
              <w:pStyle w:val="Tabel-BrdtekstmedafstandptekstGaramond"/>
            </w:pPr>
          </w:p>
          <w:p w:rsidR="00125EB8" w:rsidRDefault="00125EB8" w:rsidP="008648B8">
            <w:pPr>
              <w:pStyle w:val="Tabel-BrdtekstmedafstandptekstGaramond"/>
            </w:pPr>
          </w:p>
          <w:p w:rsidR="00125EB8" w:rsidRDefault="00125EB8" w:rsidP="008648B8">
            <w:pPr>
              <w:pStyle w:val="Tabel-BrdtekstmedafstandptekstGaramond"/>
            </w:pPr>
          </w:p>
          <w:p w:rsidR="00125EB8" w:rsidRDefault="00125EB8" w:rsidP="008648B8">
            <w:pPr>
              <w:pStyle w:val="Tabel-BrdtekstmedafstandptekstGaramond"/>
            </w:pPr>
          </w:p>
          <w:p w:rsidR="00E534C6" w:rsidRDefault="00E534C6" w:rsidP="008648B8">
            <w:pPr>
              <w:pStyle w:val="Tabel-BrdtekstmedafstandptekstGaramond"/>
            </w:pPr>
          </w:p>
          <w:p w:rsidR="00E534C6" w:rsidRDefault="00E534C6" w:rsidP="008648B8">
            <w:pPr>
              <w:pStyle w:val="Tabel-BrdtekstmedafstandptekstGaramond"/>
            </w:pPr>
          </w:p>
          <w:p w:rsidR="00D804A6" w:rsidRDefault="00D804A6" w:rsidP="008648B8">
            <w:pPr>
              <w:pStyle w:val="Tabel-BrdtekstmedafstandptekstGaramond"/>
            </w:pPr>
          </w:p>
          <w:p w:rsidR="00E534C6" w:rsidRDefault="00E534C6" w:rsidP="008648B8">
            <w:pPr>
              <w:pStyle w:val="Tabel-BrdtekstmedafstandptekstGaramond"/>
            </w:pPr>
          </w:p>
          <w:p w:rsidR="00D804A6" w:rsidRDefault="00D804A6" w:rsidP="008648B8">
            <w:pPr>
              <w:pStyle w:val="Tabel-BrdtekstmedafstandptekstGaramond"/>
            </w:pPr>
            <w:r>
              <w:t>Det bør præciseres</w:t>
            </w:r>
            <w:r w:rsidR="002C4CD1">
              <w:t>, hvad der fo</w:t>
            </w:r>
            <w:r w:rsidR="002C4CD1">
              <w:t>r</w:t>
            </w:r>
            <w:r w:rsidR="002C4CD1">
              <w:t>stås ved et ”offshoreanlæg”</w:t>
            </w:r>
            <w:r>
              <w:t>. Det kan næppe være hensigten, at den samlede offshore vindmøllepark skal være færdigbygget og event</w:t>
            </w:r>
            <w:r>
              <w:t>u</w:t>
            </w:r>
            <w:r>
              <w:t>elt tillige idriftsat.</w:t>
            </w:r>
          </w:p>
          <w:p w:rsidR="00D804A6" w:rsidRDefault="00D804A6" w:rsidP="008648B8">
            <w:pPr>
              <w:pStyle w:val="Tabel-BrdtekstmedafstandptekstGaramond"/>
            </w:pPr>
          </w:p>
          <w:p w:rsidR="00D804A6" w:rsidRDefault="00D804A6" w:rsidP="008648B8">
            <w:pPr>
              <w:pStyle w:val="Tabel-BrdtekstmedafstandptekstGaramond"/>
            </w:pPr>
          </w:p>
          <w:p w:rsidR="00D804A6" w:rsidRDefault="00D804A6" w:rsidP="008648B8">
            <w:pPr>
              <w:pStyle w:val="Tabel-BrdtekstmedafstandptekstGaramond"/>
            </w:pPr>
          </w:p>
          <w:p w:rsidR="00A80E9A" w:rsidRDefault="00A80E9A" w:rsidP="008648B8">
            <w:pPr>
              <w:pStyle w:val="Tabel-BrdtekstmedafstandptekstGaramond"/>
            </w:pPr>
          </w:p>
          <w:p w:rsidR="00A80E9A" w:rsidRDefault="00A80E9A" w:rsidP="008648B8">
            <w:pPr>
              <w:pStyle w:val="Tabel-BrdtekstmedafstandptekstGaramond"/>
            </w:pPr>
          </w:p>
          <w:p w:rsidR="00A80E9A" w:rsidRDefault="00A80E9A" w:rsidP="008648B8">
            <w:pPr>
              <w:pStyle w:val="Tabel-BrdtekstmedafstandptekstGaramond"/>
            </w:pPr>
          </w:p>
          <w:p w:rsidR="00D804A6" w:rsidRDefault="00D804A6" w:rsidP="008648B8">
            <w:pPr>
              <w:pStyle w:val="Tabel-BrdtekstmedafstandptekstGaramond"/>
            </w:pPr>
          </w:p>
          <w:p w:rsidR="00895639" w:rsidRDefault="00895639" w:rsidP="008648B8">
            <w:pPr>
              <w:pStyle w:val="Tabel-BrdtekstmedafstandptekstGaramond"/>
            </w:pPr>
          </w:p>
          <w:p w:rsidR="00CC7F94" w:rsidRDefault="00895639" w:rsidP="0095353A">
            <w:pPr>
              <w:pStyle w:val="Tabel-BrdtekstmedafstandptekstGaramond"/>
            </w:pPr>
            <w:r>
              <w:t>Det</w:t>
            </w:r>
            <w:r w:rsidR="0095353A">
              <w:t xml:space="preserve"> bør endelig præciseres</w:t>
            </w:r>
            <w:r w:rsidR="00D60C18">
              <w:t>, hvo</w:t>
            </w:r>
            <w:r w:rsidR="00D60C18">
              <w:t>r</w:t>
            </w:r>
            <w:r w:rsidR="00D60C18">
              <w:t xml:space="preserve">vidt </w:t>
            </w:r>
            <w:r w:rsidR="00487EE1">
              <w:t>søtransport kan omfatte se</w:t>
            </w:r>
            <w:r w:rsidR="00487EE1">
              <w:t>j</w:t>
            </w:r>
            <w:r w:rsidR="00487EE1">
              <w:t xml:space="preserve">lads fra </w:t>
            </w:r>
            <w:r w:rsidR="0095353A">
              <w:t xml:space="preserve">en </w:t>
            </w:r>
            <w:r w:rsidR="00487EE1">
              <w:t xml:space="preserve">havn </w:t>
            </w:r>
            <w:r w:rsidR="0095353A">
              <w:t xml:space="preserve">og </w:t>
            </w:r>
            <w:r w:rsidR="00487EE1">
              <w:t xml:space="preserve">tilbage til den samme havn. </w:t>
            </w:r>
            <w:r w:rsidR="001A1420">
              <w:t>I forhold til sids</w:t>
            </w:r>
            <w:r w:rsidR="001A1420">
              <w:t>t</w:t>
            </w:r>
            <w:r w:rsidR="001A1420">
              <w:t xml:space="preserve">nævnte henvises til sag C-17/13 Alpine River Cruises. </w:t>
            </w:r>
          </w:p>
        </w:tc>
        <w:tc>
          <w:tcPr>
            <w:tcW w:w="230" w:type="dxa"/>
            <w:shd w:val="clear" w:color="auto" w:fill="FFFFFF" w:themeFill="background1"/>
          </w:tcPr>
          <w:p w:rsidR="00345F79" w:rsidRPr="00B5346F" w:rsidRDefault="00345F79" w:rsidP="00712257"/>
        </w:tc>
        <w:tc>
          <w:tcPr>
            <w:tcW w:w="3443" w:type="dxa"/>
            <w:tcBorders>
              <w:bottom w:val="single" w:sz="4" w:space="0" w:color="14143C" w:themeColor="accent1"/>
            </w:tcBorders>
            <w:shd w:val="clear" w:color="auto" w:fill="D2CED8"/>
          </w:tcPr>
          <w:p w:rsidR="00C15E95" w:rsidRDefault="00C15E95" w:rsidP="00BF6F7E">
            <w:pPr>
              <w:pStyle w:val="Tabel-BrdtekstmedafstandptekstGaramond"/>
            </w:pPr>
          </w:p>
          <w:p w:rsidR="00C15E95" w:rsidRDefault="00C15E95" w:rsidP="00BF6F7E">
            <w:pPr>
              <w:pStyle w:val="Tabel-BrdtekstmedafstandptekstGaramond"/>
            </w:pPr>
          </w:p>
          <w:p w:rsidR="00C15E95" w:rsidRDefault="00C15E95" w:rsidP="00BF6F7E">
            <w:pPr>
              <w:pStyle w:val="Tabel-BrdtekstmedafstandptekstGaramond"/>
            </w:pPr>
          </w:p>
          <w:p w:rsidR="00C15E95" w:rsidRDefault="00C15E95" w:rsidP="00BF6F7E">
            <w:pPr>
              <w:pStyle w:val="Tabel-BrdtekstmedafstandptekstGaramond"/>
            </w:pPr>
          </w:p>
          <w:p w:rsidR="00C15E95" w:rsidRDefault="00C15E95" w:rsidP="00BF6F7E">
            <w:pPr>
              <w:pStyle w:val="Tabel-BrdtekstmedafstandptekstGaramond"/>
            </w:pPr>
          </w:p>
          <w:p w:rsidR="00C15E95" w:rsidRDefault="00C15E95" w:rsidP="00BF6F7E">
            <w:pPr>
              <w:pStyle w:val="Tabel-BrdtekstmedafstandptekstGaramond"/>
            </w:pPr>
          </w:p>
          <w:p w:rsidR="00C570E1" w:rsidRDefault="00C570E1" w:rsidP="00C570E1">
            <w:pPr>
              <w:pStyle w:val="Tabel-BrdtekstmedafstandptekstGaramond"/>
            </w:pPr>
            <w:r>
              <w:t xml:space="preserve">Det indgår ikke i </w:t>
            </w:r>
            <w:r w:rsidRPr="005A562C">
              <w:rPr>
                <w:i/>
              </w:rPr>
              <w:t>Aftale om en vækstpakke</w:t>
            </w:r>
            <w:r>
              <w:t>, at der samtidig med udvidelsen af tonnageskatteor</w:t>
            </w:r>
            <w:r>
              <w:t>d</w:t>
            </w:r>
            <w:r>
              <w:t>ningen skal gennemføres en tilsv</w:t>
            </w:r>
            <w:r>
              <w:t>a</w:t>
            </w:r>
            <w:r>
              <w:t xml:space="preserve">rende udvidelse af DIS-ordningen.  </w:t>
            </w:r>
          </w:p>
          <w:p w:rsidR="00C570E1" w:rsidRDefault="00C570E1" w:rsidP="00C570E1">
            <w:pPr>
              <w:pStyle w:val="Tabel-BrdtekstmedafstandptekstGaramond"/>
            </w:pPr>
          </w:p>
          <w:p w:rsidR="00C570E1" w:rsidRDefault="00C570E1" w:rsidP="00C570E1">
            <w:pPr>
              <w:pStyle w:val="Tabel-BrdtekstmedafstandptekstGaramond"/>
            </w:pPr>
            <w:r>
              <w:t>Med forslaget præciseres det, at anvendelsesområdet for DIS-ordningen fastholdes. Der er sål</w:t>
            </w:r>
            <w:r>
              <w:t>e</w:t>
            </w:r>
            <w:r>
              <w:t xml:space="preserve">des hverken tale om en udvidelse eller indskrænkning af rederiernes mulighed for at aflønne søfolk med en skattefri nettohyre. </w:t>
            </w:r>
          </w:p>
          <w:p w:rsidR="00C15E95" w:rsidRDefault="00C15E95" w:rsidP="00BF6F7E">
            <w:pPr>
              <w:pStyle w:val="Tabel-BrdtekstmedafstandptekstGaramond"/>
            </w:pPr>
          </w:p>
          <w:p w:rsidR="00345F79" w:rsidRDefault="004C61F8" w:rsidP="00BF6F7E">
            <w:pPr>
              <w:pStyle w:val="Tabel-BrdtekstmedafstandptekstGaramond"/>
            </w:pPr>
            <w:r>
              <w:t>B</w:t>
            </w:r>
            <w:r w:rsidR="00BF6F7E">
              <w:t xml:space="preserve">emærkningerne </w:t>
            </w:r>
            <w:r>
              <w:t xml:space="preserve">til lovforslaget som fremsat </w:t>
            </w:r>
            <w:r w:rsidR="00BF6F7E">
              <w:t>er udbygget med et afsnit om, at udvidelsen af tonn</w:t>
            </w:r>
            <w:r w:rsidR="00BF6F7E">
              <w:t>a</w:t>
            </w:r>
            <w:r w:rsidR="00BF6F7E">
              <w:t>geskatteordningen ikke medfører ændringer i anvendelsesområdet for refu</w:t>
            </w:r>
            <w:r w:rsidR="000836FD">
              <w:t>sionsordningen for pers</w:t>
            </w:r>
            <w:r w:rsidR="000836FD">
              <w:t>o</w:t>
            </w:r>
            <w:r w:rsidR="000836FD">
              <w:t>ner, som</w:t>
            </w:r>
            <w:r w:rsidR="00BF6F7E">
              <w:t xml:space="preserve"> udfører arbejde om bord på stenfiskerfartøjer, herunder sandsugere.</w:t>
            </w:r>
          </w:p>
          <w:p w:rsidR="0005201A" w:rsidRDefault="0005201A" w:rsidP="000E581A">
            <w:pPr>
              <w:pStyle w:val="Tabel-BrdtekstmedafstandptekstGaramond"/>
            </w:pPr>
          </w:p>
          <w:p w:rsidR="000D7997" w:rsidRDefault="00C74FD0" w:rsidP="008D1AAA">
            <w:pPr>
              <w:pStyle w:val="Tabel-BrdtekstmedafstandptekstGaramond"/>
            </w:pPr>
            <w:r>
              <w:t>De aktiviteter, som tonnageskatt</w:t>
            </w:r>
            <w:r>
              <w:t>e</w:t>
            </w:r>
            <w:r>
              <w:t>ordningen udvides med – heru</w:t>
            </w:r>
            <w:r>
              <w:t>n</w:t>
            </w:r>
            <w:r>
              <w:t>der aktivitet med visse konstrukt</w:t>
            </w:r>
            <w:r>
              <w:t>i</w:t>
            </w:r>
            <w:r>
              <w:t xml:space="preserve">onsopgaver til søs – er </w:t>
            </w:r>
            <w:r w:rsidR="00760A7C">
              <w:t>hverken e</w:t>
            </w:r>
            <w:r w:rsidR="00760A7C">
              <w:t>f</w:t>
            </w:r>
            <w:r w:rsidR="00760A7C">
              <w:t>ter gældende regler eller efter lo</w:t>
            </w:r>
            <w:r w:rsidR="00760A7C">
              <w:t>v</w:t>
            </w:r>
            <w:r w:rsidR="00760A7C">
              <w:t>forslaget omfattet a</w:t>
            </w:r>
            <w:r>
              <w:t xml:space="preserve">f </w:t>
            </w:r>
            <w:r w:rsidR="00F03713">
              <w:t xml:space="preserve">begrebet ”transport af passagerer eller gods” </w:t>
            </w:r>
            <w:r>
              <w:t xml:space="preserve">i tonnageskattelovens § 6. </w:t>
            </w:r>
          </w:p>
          <w:p w:rsidR="000D7997" w:rsidRDefault="000D7997" w:rsidP="008D1AAA">
            <w:pPr>
              <w:pStyle w:val="Tabel-BrdtekstmedafstandptekstGaramond"/>
            </w:pPr>
          </w:p>
          <w:p w:rsidR="00F139CB" w:rsidRDefault="00760A7C" w:rsidP="008D1AAA">
            <w:pPr>
              <w:pStyle w:val="Tabel-BrdtekstmedafstandptekstGaramond"/>
            </w:pPr>
            <w:r>
              <w:t>Dette er tydeliggjort i lovforslaget</w:t>
            </w:r>
            <w:r w:rsidR="0083000A">
              <w:t xml:space="preserve"> som fremsat</w:t>
            </w:r>
            <w:r w:rsidR="00F03713">
              <w:t>, herunder i bemær</w:t>
            </w:r>
            <w:r w:rsidR="00F03713">
              <w:t>k</w:t>
            </w:r>
            <w:r w:rsidR="00F03713">
              <w:t xml:space="preserve">ningerne til </w:t>
            </w:r>
            <w:r w:rsidR="00882625">
              <w:t>den foreslåede b</w:t>
            </w:r>
            <w:r w:rsidR="00882625">
              <w:t>e</w:t>
            </w:r>
            <w:r w:rsidR="00882625">
              <w:t>stemmelse i tonnageskattelovens</w:t>
            </w:r>
            <w:r w:rsidR="004A3356">
              <w:t xml:space="preserve"> </w:t>
            </w:r>
            <w:r w:rsidR="00F03713">
              <w:t xml:space="preserve">§ </w:t>
            </w:r>
            <w:r w:rsidR="00F03713">
              <w:lastRenderedPageBreak/>
              <w:t>8 a.</w:t>
            </w:r>
          </w:p>
          <w:p w:rsidR="008C69CA" w:rsidRDefault="008C69CA" w:rsidP="008D1AAA">
            <w:pPr>
              <w:pStyle w:val="Tabel-BrdtekstmedafstandptekstGaramond"/>
            </w:pPr>
          </w:p>
          <w:p w:rsidR="000E24FA" w:rsidRDefault="008C69CA" w:rsidP="008D1AAA">
            <w:pPr>
              <w:pStyle w:val="Tabel-BrdtekstmedafstandptekstGaramond"/>
            </w:pPr>
            <w:r>
              <w:t>Som det også er beskrevet i lo</w:t>
            </w:r>
            <w:r>
              <w:t>v</w:t>
            </w:r>
            <w:r>
              <w:t>forslaget</w:t>
            </w:r>
            <w:r w:rsidR="00563670">
              <w:t xml:space="preserve"> som fremsat</w:t>
            </w:r>
            <w:r>
              <w:t xml:space="preserve">, </w:t>
            </w:r>
            <w:r w:rsidR="0050247F">
              <w:t xml:space="preserve">sker </w:t>
            </w:r>
            <w:r>
              <w:t>udv</w:t>
            </w:r>
            <w:r>
              <w:t>i</w:t>
            </w:r>
            <w:r>
              <w:t>de</w:t>
            </w:r>
            <w:r w:rsidR="0050247F">
              <w:t xml:space="preserve">lsen af </w:t>
            </w:r>
            <w:r>
              <w:t>tonnageskatteordningen ved, at der</w:t>
            </w:r>
            <w:r w:rsidR="000A64CF">
              <w:t xml:space="preserve"> i § 8 a</w:t>
            </w:r>
            <w:r>
              <w:t xml:space="preserve"> </w:t>
            </w:r>
            <w:r w:rsidR="0050247F">
              <w:t>indføres en ny kategori af aktiviteter, der kan tonnagebeskattes, uden at der er tale om ak</w:t>
            </w:r>
            <w:r w:rsidR="00D804A6">
              <w:t xml:space="preserve">tivitet med </w:t>
            </w:r>
            <w:r w:rsidR="0050247F">
              <w:t>transport</w:t>
            </w:r>
            <w:r w:rsidR="00D804A6">
              <w:t xml:space="preserve"> af passagerer eller gods</w:t>
            </w:r>
            <w:r w:rsidR="0050247F">
              <w:t>.</w:t>
            </w:r>
            <w:r w:rsidR="000E24FA">
              <w:t xml:space="preserve"> </w:t>
            </w:r>
          </w:p>
          <w:p w:rsidR="00E62FD2" w:rsidRDefault="00E62FD2" w:rsidP="008D1AAA">
            <w:pPr>
              <w:pStyle w:val="Tabel-BrdtekstmedafstandptekstGaramond"/>
            </w:pPr>
          </w:p>
          <w:p w:rsidR="000E24FA" w:rsidRDefault="000E24FA" w:rsidP="008D1AAA">
            <w:pPr>
              <w:pStyle w:val="Tabel-BrdtekstmedafstandptekstGaramond"/>
            </w:pPr>
            <w:r>
              <w:t xml:space="preserve">Forslaget </w:t>
            </w:r>
            <w:r w:rsidRPr="000E24FA">
              <w:rPr>
                <w:iCs/>
              </w:rPr>
              <w:t xml:space="preserve">ændrer </w:t>
            </w:r>
            <w:r>
              <w:rPr>
                <w:iCs/>
              </w:rPr>
              <w:t xml:space="preserve">derimod </w:t>
            </w:r>
            <w:r w:rsidRPr="000E24FA">
              <w:rPr>
                <w:iCs/>
              </w:rPr>
              <w:t xml:space="preserve">ikke på </w:t>
            </w:r>
            <w:r w:rsidRPr="000E24FA">
              <w:t>afgrænsningen af</w:t>
            </w:r>
            <w:r w:rsidR="00563670">
              <w:t xml:space="preserve"> de aktiviteter </w:t>
            </w:r>
            <w:r w:rsidR="005538E1">
              <w:t>– aktiviteter</w:t>
            </w:r>
            <w:r w:rsidR="00563670">
              <w:t xml:space="preserve"> </w:t>
            </w:r>
            <w:r w:rsidRPr="000E24FA">
              <w:t>med transport af pass</w:t>
            </w:r>
            <w:r w:rsidRPr="000E24FA">
              <w:t>a</w:t>
            </w:r>
            <w:r w:rsidRPr="000E24FA">
              <w:t>ge</w:t>
            </w:r>
            <w:r>
              <w:t>rer eller gods</w:t>
            </w:r>
            <w:r w:rsidR="00563670">
              <w:t xml:space="preserve"> – der kan tonn</w:t>
            </w:r>
            <w:r w:rsidR="00563670">
              <w:t>a</w:t>
            </w:r>
            <w:r w:rsidR="00563670">
              <w:t>gebeskattes efter gældende regler</w:t>
            </w:r>
            <w:r>
              <w:t>.</w:t>
            </w:r>
          </w:p>
          <w:p w:rsidR="00563670" w:rsidRDefault="00563670" w:rsidP="008D1AAA">
            <w:pPr>
              <w:pStyle w:val="Tabel-BrdtekstmedafstandptekstGaramond"/>
            </w:pPr>
          </w:p>
          <w:p w:rsidR="00563670" w:rsidRDefault="00FC4A19" w:rsidP="00563670">
            <w:pPr>
              <w:pStyle w:val="Tabel-BrdtekstmedafstandptekstGaramond"/>
            </w:pPr>
            <w:r>
              <w:t>E</w:t>
            </w:r>
            <w:r w:rsidR="00563670">
              <w:t xml:space="preserve">ntreprenørmæssig aktivitet til </w:t>
            </w:r>
            <w:r>
              <w:t>søs udgør</w:t>
            </w:r>
            <w:r w:rsidR="00563670">
              <w:t xml:space="preserve"> </w:t>
            </w:r>
            <w:r>
              <w:t xml:space="preserve">som følge af ovenstående ikke </w:t>
            </w:r>
            <w:r w:rsidR="00563670">
              <w:t xml:space="preserve">en integreret del af aktivitet med søtransport, men </w:t>
            </w:r>
            <w:r>
              <w:t xml:space="preserve">indgår </w:t>
            </w:r>
            <w:r w:rsidR="00563670">
              <w:t>i st</w:t>
            </w:r>
            <w:r w:rsidR="00563670">
              <w:t>e</w:t>
            </w:r>
            <w:r w:rsidR="00563670">
              <w:t xml:space="preserve">det </w:t>
            </w:r>
            <w:r>
              <w:t>i</w:t>
            </w:r>
            <w:r w:rsidR="00563670">
              <w:t xml:space="preserve"> den nye kategori af aktivit</w:t>
            </w:r>
            <w:r w:rsidR="00563670">
              <w:t>e</w:t>
            </w:r>
            <w:r w:rsidR="00563670">
              <w:t>ter, som tonnageskatteordningen udvides med.</w:t>
            </w:r>
          </w:p>
          <w:p w:rsidR="00563670" w:rsidRDefault="00563670" w:rsidP="00563670">
            <w:pPr>
              <w:pStyle w:val="Tabel-BrdtekstmedafstandptekstGaramond"/>
            </w:pPr>
          </w:p>
          <w:p w:rsidR="00E62FD2" w:rsidRDefault="00E62FD2" w:rsidP="00E62FD2">
            <w:pPr>
              <w:pStyle w:val="Tabel-BrdtekstmedafstandptekstGaramond"/>
            </w:pPr>
            <w:r w:rsidRPr="00E62FD2">
              <w:t>For de</w:t>
            </w:r>
            <w:r>
              <w:t>nne</w:t>
            </w:r>
            <w:r w:rsidRPr="00E62FD2">
              <w:t xml:space="preserve"> </w:t>
            </w:r>
            <w:r>
              <w:t>kategori af aktiviteter</w:t>
            </w:r>
            <w:r w:rsidRPr="00E62FD2">
              <w:t xml:space="preserve"> er det hverken en betingelse for at være omfattet af tonnageskatt</w:t>
            </w:r>
            <w:r w:rsidRPr="00E62FD2">
              <w:t>e</w:t>
            </w:r>
            <w:r w:rsidRPr="00E62FD2">
              <w:t>ordningen, at der er tale om red</w:t>
            </w:r>
            <w:r w:rsidRPr="00E62FD2">
              <w:t>e</w:t>
            </w:r>
            <w:r w:rsidRPr="00E62FD2">
              <w:t>rivirksomhed, eller at aktiviteterne udøves mellem forskellige destin</w:t>
            </w:r>
            <w:r w:rsidRPr="00E62FD2">
              <w:t>a</w:t>
            </w:r>
            <w:r w:rsidRPr="00E62FD2">
              <w:t>tioner</w:t>
            </w:r>
            <w:r>
              <w:t>.</w:t>
            </w:r>
          </w:p>
          <w:p w:rsidR="00E62FD2" w:rsidRDefault="00E62FD2" w:rsidP="00563670">
            <w:pPr>
              <w:pStyle w:val="Tabel-BrdtekstmedafstandptekstGaramond"/>
            </w:pPr>
          </w:p>
          <w:p w:rsidR="00310E14" w:rsidRDefault="00FC4A19" w:rsidP="008D1AAA">
            <w:pPr>
              <w:pStyle w:val="Tabel-BrdtekstmedafstandptekstGaramond"/>
            </w:pPr>
            <w:r>
              <w:t>Det bemærkes i øvrigt</w:t>
            </w:r>
            <w:r w:rsidR="00853C65">
              <w:t>, at medd</w:t>
            </w:r>
            <w:r w:rsidR="00853C65">
              <w:t>e</w:t>
            </w:r>
            <w:r w:rsidR="00853C65">
              <w:t>lelse</w:t>
            </w:r>
            <w:r>
              <w:t>n i SKM</w:t>
            </w:r>
            <w:r w:rsidR="00853C65">
              <w:t>2006.602</w:t>
            </w:r>
            <w:proofErr w:type="gramStart"/>
            <w:r>
              <w:t>.</w:t>
            </w:r>
            <w:r w:rsidR="00853C65">
              <w:t>DEP</w:t>
            </w:r>
            <w:proofErr w:type="gramEnd"/>
            <w:r w:rsidR="00853C65">
              <w:t xml:space="preserve"> ikke vedrører tonn</w:t>
            </w:r>
            <w:r w:rsidR="0083688F">
              <w:t>ageskatteordningen</w:t>
            </w:r>
            <w:r>
              <w:t>,</w:t>
            </w:r>
            <w:r w:rsidR="004A3356">
              <w:t xml:space="preserve"> men</w:t>
            </w:r>
            <w:r w:rsidR="0083688F">
              <w:t xml:space="preserve"> refusionsordningen for san</w:t>
            </w:r>
            <w:r w:rsidR="0083688F">
              <w:t>d</w:t>
            </w:r>
            <w:r w:rsidR="0083688F">
              <w:t xml:space="preserve">sugere. </w:t>
            </w:r>
          </w:p>
          <w:p w:rsidR="004643AB" w:rsidRDefault="004643AB" w:rsidP="00316FA3">
            <w:pPr>
              <w:pStyle w:val="Tabel-BrdtekstmedafstandptekstGaramond"/>
            </w:pPr>
          </w:p>
          <w:p w:rsidR="00125EB8" w:rsidRDefault="00E62FD2" w:rsidP="00316FA3">
            <w:pPr>
              <w:pStyle w:val="Tabel-BrdtekstmedafstandptekstGaramond"/>
            </w:pPr>
            <w:r>
              <w:t>Hvis et skib udfører aktivitet, der er omfattet af forslaget til § 8 a, kan aktiviteten omfattes af tonn</w:t>
            </w:r>
            <w:r>
              <w:t>a</w:t>
            </w:r>
            <w:r>
              <w:t>geskatteordningen, selv om skibet ikke udfører transport af passag</w:t>
            </w:r>
            <w:r>
              <w:t>e</w:t>
            </w:r>
            <w:r>
              <w:lastRenderedPageBreak/>
              <w:t>rer eller gods til søs. D</w:t>
            </w:r>
            <w:r w:rsidR="00E534C6">
              <w:t>ette er b</w:t>
            </w:r>
            <w:r w:rsidR="00E534C6">
              <w:t>e</w:t>
            </w:r>
            <w:r w:rsidR="00E534C6">
              <w:t>skrevet ovenfor og tydeliggjort i bemærkningerne til lovforslaget som fremsat.</w:t>
            </w:r>
          </w:p>
          <w:p w:rsidR="00125EB8" w:rsidRDefault="00125EB8" w:rsidP="00316FA3">
            <w:pPr>
              <w:pStyle w:val="Tabel-BrdtekstmedafstandptekstGaramond"/>
            </w:pPr>
          </w:p>
          <w:p w:rsidR="00310E14" w:rsidRDefault="00E534C6" w:rsidP="00E534C6">
            <w:pPr>
              <w:pStyle w:val="Tabel-BrdtekstmedafstandptekstGaramond"/>
            </w:pPr>
            <w:r>
              <w:t xml:space="preserve">Lovforslaget giver ikke anledning til at præcisere, </w:t>
            </w:r>
            <w:r w:rsidR="000A3572">
              <w:t>hvorvidt carbot</w:t>
            </w:r>
            <w:r w:rsidR="000A3572">
              <w:t>a</w:t>
            </w:r>
            <w:r w:rsidR="000A3572">
              <w:t>gesejlads uden last</w:t>
            </w:r>
            <w:r>
              <w:t xml:space="preserve"> (s</w:t>
            </w:r>
            <w:r w:rsidR="00851BA6">
              <w:t>ag C</w:t>
            </w:r>
            <w:r>
              <w:t>-</w:t>
            </w:r>
            <w:r w:rsidR="00851BA6">
              <w:t xml:space="preserve">456/04 Agip Petroli </w:t>
            </w:r>
            <w:proofErr w:type="spellStart"/>
            <w:r>
              <w:t>SpA</w:t>
            </w:r>
            <w:proofErr w:type="spellEnd"/>
            <w:r>
              <w:t xml:space="preserve">) </w:t>
            </w:r>
            <w:r w:rsidR="00851BA6">
              <w:t>eller fra havn tilbage til den samme havn</w:t>
            </w:r>
            <w:r>
              <w:t xml:space="preserve"> (s</w:t>
            </w:r>
            <w:r w:rsidR="0033516A">
              <w:t>ag C-17/13 Alpine River Cruises</w:t>
            </w:r>
            <w:r>
              <w:t>)</w:t>
            </w:r>
            <w:r w:rsidR="0033516A">
              <w:t xml:space="preserve"> </w:t>
            </w:r>
            <w:r w:rsidR="00100800">
              <w:t>kan omfattes af tonnageskatteordni</w:t>
            </w:r>
            <w:r w:rsidR="00100800">
              <w:t>n</w:t>
            </w:r>
            <w:r w:rsidR="00100800">
              <w:t>gen</w:t>
            </w:r>
            <w:r w:rsidR="00C8533B">
              <w:t xml:space="preserve">. </w:t>
            </w:r>
          </w:p>
          <w:p w:rsidR="00E534C6" w:rsidRDefault="00E534C6" w:rsidP="00E534C6">
            <w:pPr>
              <w:pStyle w:val="Tabel-BrdtekstmedafstandptekstGaramond"/>
            </w:pPr>
          </w:p>
          <w:p w:rsidR="00A80E9A" w:rsidRDefault="00D804A6" w:rsidP="00D804A6">
            <w:pPr>
              <w:pStyle w:val="Tabel-BrdtekstmedafstandptekstGaramond"/>
            </w:pPr>
            <w:r>
              <w:t xml:space="preserve">Det </w:t>
            </w:r>
            <w:r w:rsidR="00A80E9A">
              <w:t>bemærkes</w:t>
            </w:r>
            <w:r>
              <w:t>, at lovforslaget ikke ændrer på</w:t>
            </w:r>
            <w:r w:rsidRPr="00D804A6">
              <w:t xml:space="preserve">, hvornår der </w:t>
            </w:r>
            <w:r w:rsidR="00A80E9A">
              <w:t>efter gæ</w:t>
            </w:r>
            <w:r w:rsidR="00A80E9A">
              <w:t>l</w:t>
            </w:r>
            <w:r w:rsidR="00A80E9A">
              <w:t xml:space="preserve">dende regler </w:t>
            </w:r>
            <w:r w:rsidRPr="00D804A6">
              <w:t xml:space="preserve">er tale om aktivitet med transport af passagerer eller gods (rederivirksomhed) mellem forskellige destinationer. </w:t>
            </w:r>
            <w:r w:rsidR="00A80E9A">
              <w:t xml:space="preserve">Dernæst bemærkes, at </w:t>
            </w:r>
            <w:r w:rsidR="0095353A">
              <w:t>destinationskravet ikke</w:t>
            </w:r>
            <w:r w:rsidR="00A80E9A">
              <w:t xml:space="preserve"> gælder for de aktiviteter, som tonnageskatteordningen foreslås udvidet med. Det indgår derfor i</w:t>
            </w:r>
            <w:r w:rsidR="00A80E9A">
              <w:t>k</w:t>
            </w:r>
            <w:r w:rsidR="00A80E9A">
              <w:t>ke i lovforslaget at foretage en nærmere afgræsning af begrebet offshore-anlæg.</w:t>
            </w:r>
          </w:p>
          <w:p w:rsidR="00A80E9A" w:rsidRDefault="00A80E9A" w:rsidP="00D804A6">
            <w:pPr>
              <w:pStyle w:val="Tabel-BrdtekstmedafstandptekstGaramond"/>
            </w:pPr>
          </w:p>
          <w:p w:rsidR="00E534C6" w:rsidRPr="00B5346F" w:rsidRDefault="0095353A" w:rsidP="00FA0089">
            <w:pPr>
              <w:pStyle w:val="Tabel-BrdtekstmedafstandptekstGaramond"/>
            </w:pPr>
            <w:r>
              <w:t xml:space="preserve">Lovforslaget ændrer ikke på, hvornår der er tale om søtransport mellem forskellige destinationer. </w:t>
            </w:r>
            <w:r w:rsidR="00FA0089">
              <w:t>De foreslåede regler giver derfor ikke anledning til den ønskede præciser</w:t>
            </w:r>
            <w:r w:rsidR="000C051B">
              <w:t>ing, jf. også ovenfor.</w:t>
            </w:r>
          </w:p>
        </w:tc>
      </w:tr>
      <w:tr w:rsidR="00D80501" w:rsidRPr="00B5346F" w:rsidTr="004D2BD7">
        <w:tc>
          <w:tcPr>
            <w:tcW w:w="2310" w:type="dxa"/>
            <w:tcBorders>
              <w:bottom w:val="single" w:sz="4" w:space="0" w:color="D1C5C3" w:themeColor="accent3"/>
            </w:tcBorders>
            <w:shd w:val="clear" w:color="auto" w:fill="FBF9F9"/>
          </w:tcPr>
          <w:p w:rsidR="00D80501" w:rsidRDefault="00D80501" w:rsidP="00712257">
            <w:pPr>
              <w:pStyle w:val="Tabel-BrdtekstmedafstandptekstGaramond"/>
              <w:rPr>
                <w:i/>
              </w:rPr>
            </w:pPr>
            <w:r>
              <w:rPr>
                <w:i/>
              </w:rPr>
              <w:lastRenderedPageBreak/>
              <w:t>Danmarks Rederifo</w:t>
            </w:r>
            <w:r>
              <w:rPr>
                <w:i/>
              </w:rPr>
              <w:t>r</w:t>
            </w:r>
            <w:r>
              <w:rPr>
                <w:i/>
              </w:rPr>
              <w:t>ening</w:t>
            </w:r>
          </w:p>
        </w:tc>
        <w:tc>
          <w:tcPr>
            <w:tcW w:w="213" w:type="dxa"/>
            <w:shd w:val="clear" w:color="auto" w:fill="FFFFFF" w:themeFill="background1"/>
          </w:tcPr>
          <w:p w:rsidR="00D80501" w:rsidRPr="00B5346F" w:rsidRDefault="00D80501" w:rsidP="00712257"/>
        </w:tc>
        <w:tc>
          <w:tcPr>
            <w:tcW w:w="3443" w:type="dxa"/>
            <w:tcBorders>
              <w:bottom w:val="single" w:sz="4" w:space="0" w:color="D1C5C3" w:themeColor="accent3"/>
            </w:tcBorders>
            <w:shd w:val="clear" w:color="auto" w:fill="FBF9F9"/>
          </w:tcPr>
          <w:p w:rsidR="000C020E" w:rsidRDefault="000C020E" w:rsidP="000C020E">
            <w:pPr>
              <w:pStyle w:val="Tabel-BrdtekstmedafstandptekstGaramond"/>
            </w:pPr>
            <w:r>
              <w:t>Indledningsvist hilser Danmarks Rederiforening og Rederiforeni</w:t>
            </w:r>
            <w:r>
              <w:t>n</w:t>
            </w:r>
            <w:r>
              <w:t>gen af 2010 (herefter ”Rederifo</w:t>
            </w:r>
            <w:r>
              <w:t>r</w:t>
            </w:r>
            <w:r>
              <w:t>eningen”) den foreslåede udvidelse af tonnageskatteordningen ve</w:t>
            </w:r>
            <w:r>
              <w:t>l</w:t>
            </w:r>
            <w:r>
              <w:t>kommen. Rederiforeningen næ</w:t>
            </w:r>
            <w:r>
              <w:t>v</w:t>
            </w:r>
            <w:r>
              <w:t>ner i den forbindelse, at den da</w:t>
            </w:r>
            <w:r>
              <w:t>n</w:t>
            </w:r>
            <w:r>
              <w:t xml:space="preserve">ske offshore-sektor efter </w:t>
            </w:r>
            <w:r w:rsidR="001E2321">
              <w:t>foreni</w:t>
            </w:r>
            <w:r w:rsidR="001E2321">
              <w:t>n</w:t>
            </w:r>
            <w:r w:rsidR="001E2321">
              <w:lastRenderedPageBreak/>
              <w:t>gens</w:t>
            </w:r>
            <w:r>
              <w:t xml:space="preserve"> vurdering beskæftiger mere end 20.000 personer, hvoraf 5.000 er beskæftiget med aktiviteter rel</w:t>
            </w:r>
            <w:r>
              <w:t>a</w:t>
            </w:r>
            <w:r>
              <w:t xml:space="preserve">teret til opsætning og service af offshore vind og olie/gas. </w:t>
            </w:r>
          </w:p>
          <w:p w:rsidR="008B122F" w:rsidRDefault="008B122F" w:rsidP="000C020E">
            <w:pPr>
              <w:pStyle w:val="Tabel-BrdtekstmedafstandptekstGaramond"/>
            </w:pPr>
          </w:p>
          <w:p w:rsidR="000C020E" w:rsidRDefault="008B122F" w:rsidP="000C020E">
            <w:pPr>
              <w:pStyle w:val="Tabel-BrdtekstmedafstandptekstGaramond"/>
            </w:pPr>
            <w:r w:rsidRPr="008B122F">
              <w:rPr>
                <w:b/>
              </w:rPr>
              <w:t>Bredere definition af specia</w:t>
            </w:r>
            <w:r w:rsidRPr="008B122F">
              <w:rPr>
                <w:b/>
              </w:rPr>
              <w:t>l</w:t>
            </w:r>
            <w:r w:rsidRPr="008B122F">
              <w:rPr>
                <w:b/>
              </w:rPr>
              <w:t>skibes aktiviteter</w:t>
            </w:r>
          </w:p>
          <w:p w:rsidR="005D0C6D" w:rsidRDefault="001E2321" w:rsidP="000C020E">
            <w:pPr>
              <w:pStyle w:val="Tabel-BrdtekstmedafstandptekstGaramond"/>
              <w:rPr>
                <w:szCs w:val="22"/>
              </w:rPr>
            </w:pPr>
            <w:r>
              <w:t>Rederiforeningen</w:t>
            </w:r>
            <w:r w:rsidR="000C020E">
              <w:t xml:space="preserve"> foreslå</w:t>
            </w:r>
            <w:r>
              <w:t>r, at der anlægges</w:t>
            </w:r>
            <w:r w:rsidR="000C020E">
              <w:t xml:space="preserve"> en bredere definition af de aktiviteter, som tonnageskatt</w:t>
            </w:r>
            <w:r w:rsidR="000C020E">
              <w:t>e</w:t>
            </w:r>
            <w:r w:rsidR="000C020E">
              <w:t xml:space="preserve">ordningen udvides med. </w:t>
            </w:r>
            <w:r w:rsidR="002E409A">
              <w:t>Det anf</w:t>
            </w:r>
            <w:r w:rsidR="002E409A">
              <w:t>ø</w:t>
            </w:r>
            <w:r w:rsidR="002E409A">
              <w:t xml:space="preserve">res i den forbindelse, at </w:t>
            </w:r>
            <w:r w:rsidR="00185217">
              <w:t>rederierne</w:t>
            </w:r>
            <w:r w:rsidR="00FD19E8">
              <w:rPr>
                <w:szCs w:val="22"/>
              </w:rPr>
              <w:t xml:space="preserve"> i offshore sektoren</w:t>
            </w:r>
            <w:r w:rsidR="002E409A">
              <w:rPr>
                <w:szCs w:val="22"/>
              </w:rPr>
              <w:t xml:space="preserve"> i stigende grad bliver mødt af forventninger fra kunderne om, at de er i stand til med samme skib at løse flere fo</w:t>
            </w:r>
            <w:r w:rsidR="002E409A">
              <w:rPr>
                <w:szCs w:val="22"/>
              </w:rPr>
              <w:t>r</w:t>
            </w:r>
            <w:r w:rsidR="002E409A">
              <w:rPr>
                <w:szCs w:val="22"/>
              </w:rPr>
              <w:t xml:space="preserve">skellige typer </w:t>
            </w:r>
            <w:r w:rsidR="00185217">
              <w:rPr>
                <w:szCs w:val="22"/>
              </w:rPr>
              <w:t xml:space="preserve">af </w:t>
            </w:r>
            <w:r w:rsidR="002E409A">
              <w:rPr>
                <w:szCs w:val="22"/>
              </w:rPr>
              <w:t>opgaver. Imidle</w:t>
            </w:r>
            <w:r w:rsidR="002E409A">
              <w:rPr>
                <w:szCs w:val="22"/>
              </w:rPr>
              <w:t>r</w:t>
            </w:r>
            <w:r w:rsidR="002E409A">
              <w:rPr>
                <w:szCs w:val="22"/>
              </w:rPr>
              <w:t>tid er beskrivelsen af de nye aktiv</w:t>
            </w:r>
            <w:r w:rsidR="002E409A">
              <w:rPr>
                <w:szCs w:val="22"/>
              </w:rPr>
              <w:t>i</w:t>
            </w:r>
            <w:r w:rsidR="002E409A">
              <w:rPr>
                <w:szCs w:val="22"/>
              </w:rPr>
              <w:t>teter i lovforslaget ikke dækkende for de aktiviteter, som de berørte skibstyper typisk udfører, og de</w:t>
            </w:r>
            <w:r w:rsidR="002E409A">
              <w:rPr>
                <w:szCs w:val="22"/>
              </w:rPr>
              <w:t>r</w:t>
            </w:r>
            <w:r w:rsidR="002E409A">
              <w:rPr>
                <w:szCs w:val="22"/>
              </w:rPr>
              <w:t>for risikerer forslaget ikke at få den ønskede effekt.</w:t>
            </w:r>
          </w:p>
          <w:p w:rsidR="002E409A" w:rsidRDefault="002E409A" w:rsidP="000C020E">
            <w:pPr>
              <w:pStyle w:val="Tabel-BrdtekstmedafstandptekstGaramond"/>
              <w:rPr>
                <w:szCs w:val="22"/>
              </w:rPr>
            </w:pPr>
          </w:p>
          <w:p w:rsidR="000C020E" w:rsidRDefault="002E409A" w:rsidP="000C020E">
            <w:pPr>
              <w:pStyle w:val="Tabel-BrdtekstmedafstandptekstGaramond"/>
            </w:pPr>
            <w:r>
              <w:t xml:space="preserve">Rederiforeningen foreslår på den baggrund, </w:t>
            </w:r>
            <w:r w:rsidR="000C020E">
              <w:t xml:space="preserve">at udvidelsen </w:t>
            </w:r>
            <w:r w:rsidR="00185217">
              <w:t>af tonn</w:t>
            </w:r>
            <w:r w:rsidR="00185217">
              <w:t>a</w:t>
            </w:r>
            <w:r w:rsidR="00185217">
              <w:t xml:space="preserve">geskatteordningen </w:t>
            </w:r>
            <w:r w:rsidR="000C020E">
              <w:t>ikke baserer sig på en opregning af</w:t>
            </w:r>
            <w:r w:rsidR="008B6804">
              <w:t xml:space="preserve"> konkrete </w:t>
            </w:r>
            <w:r w:rsidR="000C020E">
              <w:t>aktiv</w:t>
            </w:r>
            <w:r w:rsidR="000C020E">
              <w:t>i</w:t>
            </w:r>
            <w:r w:rsidR="000C020E">
              <w:t>teter</w:t>
            </w:r>
            <w:r w:rsidR="001E2321">
              <w:t>,</w:t>
            </w:r>
            <w:r w:rsidR="000C020E">
              <w:t xml:space="preserve"> men på en bredere</w:t>
            </w:r>
            <w:r w:rsidR="001E2321">
              <w:t>, almen</w:t>
            </w:r>
            <w:r w:rsidR="000C020E">
              <w:t xml:space="preserve"> definition, som f.eks. ”søfartsakt</w:t>
            </w:r>
            <w:r w:rsidR="000C020E">
              <w:t>i</w:t>
            </w:r>
            <w:r w:rsidR="000C020E">
              <w:t>viteter, der er udsat for internati</w:t>
            </w:r>
            <w:r w:rsidR="000C020E">
              <w:t>o</w:t>
            </w:r>
            <w:r w:rsidR="000C020E">
              <w:t xml:space="preserve">nal konkurrence”. Dette svarer til </w:t>
            </w:r>
            <w:r w:rsidR="001E2321">
              <w:t xml:space="preserve">udformningen af </w:t>
            </w:r>
            <w:r w:rsidR="000C020E">
              <w:t>den svenske s</w:t>
            </w:r>
            <w:r w:rsidR="000C020E">
              <w:t>ø</w:t>
            </w:r>
            <w:r w:rsidR="000C020E">
              <w:t>mandsbeskatningsordning, der er blevet udvidet tidligere på året. A</w:t>
            </w:r>
            <w:r w:rsidR="000C020E">
              <w:t>l</w:t>
            </w:r>
            <w:r w:rsidR="000C020E">
              <w:t xml:space="preserve">ternativt foreslås det, at udvidelsen sker med en række specifikt </w:t>
            </w:r>
            <w:r w:rsidR="001E2321">
              <w:t>o</w:t>
            </w:r>
            <w:r w:rsidR="001E2321">
              <w:t>p</w:t>
            </w:r>
            <w:r w:rsidR="001E2321">
              <w:t>regnede</w:t>
            </w:r>
            <w:r w:rsidR="000C020E">
              <w:t xml:space="preserve"> </w:t>
            </w:r>
            <w:r w:rsidR="008B6804">
              <w:t xml:space="preserve">konkrete </w:t>
            </w:r>
            <w:r w:rsidR="000C020E">
              <w:t xml:space="preserve">aktiviteter. </w:t>
            </w:r>
          </w:p>
          <w:p w:rsidR="000C020E" w:rsidRDefault="000C020E" w:rsidP="000C020E">
            <w:pPr>
              <w:pStyle w:val="Tabel-BrdtekstmedafstandptekstGaramond"/>
            </w:pPr>
          </w:p>
          <w:p w:rsidR="000C020E" w:rsidRDefault="005425F0" w:rsidP="000C020E">
            <w:pPr>
              <w:pStyle w:val="Tabel-BrdtekstmedafstandptekstGaramond"/>
            </w:pPr>
            <w:r>
              <w:t>I høringssvaret redegør Rederifo</w:t>
            </w:r>
            <w:r>
              <w:t>r</w:t>
            </w:r>
            <w:r>
              <w:t>eningen derefter mere detaljeret for, hvordan den ønskede bredere afgrænsning af aktiviteter</w:t>
            </w:r>
            <w:r w:rsidR="008B6804">
              <w:t xml:space="preserve">ne </w:t>
            </w:r>
            <w:r>
              <w:t>lo</w:t>
            </w:r>
            <w:r>
              <w:t>v</w:t>
            </w:r>
            <w:r>
              <w:lastRenderedPageBreak/>
              <w:t>teknisk kan gennemføres.</w:t>
            </w:r>
          </w:p>
          <w:p w:rsidR="005425F0" w:rsidRDefault="005425F0" w:rsidP="000C020E">
            <w:pPr>
              <w:pStyle w:val="Tabel-BrdtekstmedafstandptekstGaramond"/>
            </w:pPr>
          </w:p>
          <w:p w:rsidR="005425F0" w:rsidRDefault="008B6804" w:rsidP="005425F0">
            <w:pPr>
              <w:pStyle w:val="Tabel-BrdtekstmedafstandptekstGaramond"/>
            </w:pPr>
            <w:r>
              <w:t xml:space="preserve">Det foreslås i den forbindelse, </w:t>
            </w:r>
            <w:r w:rsidR="005425F0">
              <w:t>at tonnageskattelovens § 6 ændres, så ”servicering, konstruktion og ne</w:t>
            </w:r>
            <w:r w:rsidR="005425F0">
              <w:t>d</w:t>
            </w:r>
            <w:r w:rsidR="005425F0">
              <w:t>tagning af energiaktiviteter til søs samt miljøaktiviteter til søs, der i</w:t>
            </w:r>
            <w:r w:rsidR="005425F0">
              <w:t>k</w:t>
            </w:r>
            <w:r w:rsidR="005425F0">
              <w:t xml:space="preserve">ke er i direkte konkurrence med landbaseret aktivitet”, omfattes af bestemmelsen. </w:t>
            </w:r>
          </w:p>
          <w:p w:rsidR="005425F0" w:rsidRDefault="005425F0" w:rsidP="005425F0">
            <w:pPr>
              <w:pStyle w:val="Tabel-BrdtekstmedafstandptekstGaramond"/>
            </w:pPr>
          </w:p>
          <w:p w:rsidR="005425F0" w:rsidRDefault="005425F0" w:rsidP="00164C36">
            <w:pPr>
              <w:pStyle w:val="Tabel-BrdtekstmedafstandptekstGaramond"/>
            </w:pPr>
            <w:r>
              <w:t>Alternativt foreslås det</w:t>
            </w:r>
            <w:r w:rsidR="00164C36">
              <w:t xml:space="preserve">, at </w:t>
            </w:r>
            <w:r>
              <w:t>tonn</w:t>
            </w:r>
            <w:r>
              <w:t>a</w:t>
            </w:r>
            <w:r>
              <w:t xml:space="preserve">geskattelovens § </w:t>
            </w:r>
            <w:r w:rsidR="00164C36">
              <w:t>8, der undtager en række aktiviteter fra tonnageska</w:t>
            </w:r>
            <w:r w:rsidR="00164C36">
              <w:t>t</w:t>
            </w:r>
            <w:r w:rsidR="00164C36">
              <w:t>teordningen, indskrænkes, så by</w:t>
            </w:r>
            <w:r>
              <w:t>g</w:t>
            </w:r>
            <w:r>
              <w:t>ning og reparation af olieinstallat</w:t>
            </w:r>
            <w:r>
              <w:t>i</w:t>
            </w:r>
            <w:r>
              <w:t>oner, vindmø</w:t>
            </w:r>
            <w:r w:rsidR="00164C36">
              <w:t>lleparker eller andre havanlæg, samt d</w:t>
            </w:r>
            <w:r>
              <w:t>ykkervirksomhed</w:t>
            </w:r>
            <w:r w:rsidR="00164C36">
              <w:t xml:space="preserve"> udgår af bestemmelsen.</w:t>
            </w:r>
            <w:r w:rsidR="008B6804">
              <w:t xml:space="preserve"> Samtidig justeres tonnageskattelovens § 10.</w:t>
            </w:r>
          </w:p>
          <w:p w:rsidR="00164C36" w:rsidRDefault="00164C36" w:rsidP="00164C36">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8B122F" w:rsidRDefault="008B122F"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r>
              <w:t xml:space="preserve">Det foreslås, at ishåndteringsskibe ikke sidestilles med bugserskibe, </w:t>
            </w:r>
            <w:r w:rsidR="00A855AF">
              <w:t>så</w:t>
            </w:r>
            <w:r>
              <w:t xml:space="preserve"> der ikke for ishåndteringsskibe skal gælde et skærpet flagkrav. </w:t>
            </w: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r>
              <w:t xml:space="preserve">Det foreslås desuden, at </w:t>
            </w:r>
            <w:r w:rsidR="00F0605D">
              <w:t>reglen</w:t>
            </w:r>
            <w:r w:rsidR="00A074DC">
              <w:t xml:space="preserve"> vedrørende vindmølleskibe </w:t>
            </w:r>
            <w:r w:rsidR="00F0605D">
              <w:t>udv</w:t>
            </w:r>
            <w:r w:rsidR="00F0605D">
              <w:t>i</w:t>
            </w:r>
            <w:r w:rsidR="00F0605D">
              <w:t>des, så den dækker ”</w:t>
            </w:r>
            <w:r>
              <w:t>konstrukt</w:t>
            </w:r>
            <w:r>
              <w:t>i</w:t>
            </w:r>
            <w:r>
              <w:t>onsopgaver til søs”</w:t>
            </w:r>
            <w:r w:rsidR="00F0605D">
              <w:t xml:space="preserve"> i bredere fo</w:t>
            </w:r>
            <w:r w:rsidR="00F0605D">
              <w:t>r</w:t>
            </w:r>
            <w:r w:rsidR="00F0605D">
              <w:t>stand</w:t>
            </w:r>
            <w:r>
              <w:t>.</w:t>
            </w: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0C020E" w:rsidRDefault="000C020E" w:rsidP="000C020E">
            <w:pPr>
              <w:pStyle w:val="Tabel-BrdtekstmedafstandptekstGaramond"/>
            </w:pPr>
            <w:r>
              <w:t>Videre foreslås en præcisering af lovforslaget, så det fremgår, hvo</w:t>
            </w:r>
            <w:r>
              <w:t>r</w:t>
            </w:r>
            <w:r>
              <w:t>vidt vagttjeneste ved kabellægning og andre ikke faste installationer til søs også er omfattet af vagtskib</w:t>
            </w:r>
            <w:r>
              <w:t>s</w:t>
            </w:r>
            <w:r>
              <w:t xml:space="preserve">aktiviteter i forslaget. </w:t>
            </w:r>
          </w:p>
          <w:p w:rsidR="000C020E" w:rsidRDefault="000C020E"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A9648F" w:rsidRDefault="00A9648F" w:rsidP="000C020E">
            <w:pPr>
              <w:pStyle w:val="Tabel-BrdtekstmedafstandptekstGaramond"/>
            </w:pPr>
          </w:p>
          <w:p w:rsidR="000C020E" w:rsidRDefault="000C020E" w:rsidP="000C020E">
            <w:pPr>
              <w:pStyle w:val="Tabel-BrdtekstmedafstandptekstGaramond"/>
            </w:pPr>
            <w:r>
              <w:t>Det foreslås desuden, at der i lo</w:t>
            </w:r>
            <w:r>
              <w:t>v</w:t>
            </w:r>
            <w:r>
              <w:t>forslagets gennemgang af gælde</w:t>
            </w:r>
            <w:r>
              <w:t>n</w:t>
            </w:r>
            <w:r>
              <w:t>de ret indsættes en reference til Europa-Kommissionens godke</w:t>
            </w:r>
            <w:r>
              <w:t>n</w:t>
            </w:r>
            <w:r>
              <w:t xml:space="preserve">delse af udvidelsen af den svenske sømandsbeskatningsordning. </w:t>
            </w:r>
          </w:p>
          <w:p w:rsidR="000C020E" w:rsidRDefault="000C020E" w:rsidP="000C020E">
            <w:pPr>
              <w:pStyle w:val="Tabel-BrdtekstmedafstandptekstGaramond"/>
            </w:pPr>
          </w:p>
          <w:p w:rsidR="000C020E" w:rsidRDefault="000C020E" w:rsidP="000C020E">
            <w:pPr>
              <w:pStyle w:val="Tabel-BrdtekstmedafstandptekstGaramond"/>
            </w:pPr>
            <w:r>
              <w:t>Europa-Kommissionens godke</w:t>
            </w:r>
            <w:r>
              <w:t>n</w:t>
            </w:r>
            <w:r>
              <w:t>delse af den svenske sømandsb</w:t>
            </w:r>
            <w:r>
              <w:t>e</w:t>
            </w:r>
            <w:r>
              <w:t>skatningsordning</w:t>
            </w:r>
            <w:r w:rsidR="007C2E42">
              <w:t xml:space="preserve"> illustrerer</w:t>
            </w:r>
            <w:r>
              <w:t xml:space="preserve">, at </w:t>
            </w:r>
            <w:r w:rsidR="007C2E42">
              <w:t>a</w:t>
            </w:r>
            <w:r w:rsidR="007C2E42">
              <w:t>f</w:t>
            </w:r>
            <w:r w:rsidR="007C2E42">
              <w:t xml:space="preserve">grænsningen af </w:t>
            </w:r>
            <w:r>
              <w:t xml:space="preserve">de aktiviteter, der i </w:t>
            </w:r>
            <w:r w:rsidR="007C2E42">
              <w:t xml:space="preserve">dag er </w:t>
            </w:r>
            <w:r>
              <w:t xml:space="preserve">omfattet af </w:t>
            </w:r>
            <w:r w:rsidR="007C2E42">
              <w:t xml:space="preserve">den danske </w:t>
            </w:r>
            <w:r>
              <w:t>to</w:t>
            </w:r>
            <w:r>
              <w:t>n</w:t>
            </w:r>
            <w:r>
              <w:t>nage</w:t>
            </w:r>
            <w:r w:rsidR="00554E07">
              <w:t>skatteordning</w:t>
            </w:r>
            <w:r>
              <w:t>, er for snæver</w:t>
            </w:r>
            <w:r w:rsidR="00554E07">
              <w:t>. Det anføres</w:t>
            </w:r>
            <w:r w:rsidR="007C2E42">
              <w:t xml:space="preserve"> i den forbindelse</w:t>
            </w:r>
            <w:r w:rsidR="00554E07">
              <w:t xml:space="preserve">, at </w:t>
            </w:r>
            <w:r>
              <w:t xml:space="preserve">SKAT har anlagt en for snæver fortolkning af </w:t>
            </w:r>
            <w:r w:rsidR="008301E1">
              <w:t>destinations</w:t>
            </w:r>
            <w:r>
              <w:t>begr</w:t>
            </w:r>
            <w:r>
              <w:t>e</w:t>
            </w:r>
            <w:r>
              <w:t>bet</w:t>
            </w:r>
            <w:r w:rsidR="008301E1">
              <w:t>.</w:t>
            </w:r>
            <w:r>
              <w:t xml:space="preserve"> På </w:t>
            </w:r>
            <w:r w:rsidR="007C2E42">
              <w:t xml:space="preserve">den </w:t>
            </w:r>
            <w:r>
              <w:t>baggrund foreslås</w:t>
            </w:r>
            <w:r w:rsidR="007C2E42">
              <w:t xml:space="preserve"> det</w:t>
            </w:r>
            <w:r>
              <w:t xml:space="preserve">, at </w:t>
            </w:r>
            <w:r w:rsidR="007C2E42">
              <w:t xml:space="preserve">destinationsbegrebet præciseres i </w:t>
            </w:r>
            <w:r>
              <w:t>lovforslaget</w:t>
            </w:r>
            <w:r w:rsidR="007C2E42">
              <w:t>.</w:t>
            </w:r>
            <w:r>
              <w:t xml:space="preserve"> </w:t>
            </w:r>
          </w:p>
          <w:p w:rsidR="000C020E" w:rsidRDefault="000C020E" w:rsidP="000C020E">
            <w:pPr>
              <w:pStyle w:val="Tabel-BrdtekstmedafstandptekstGaramond"/>
              <w:rPr>
                <w:rFonts w:eastAsia="Calibri"/>
                <w:szCs w:val="22"/>
              </w:rPr>
            </w:pPr>
          </w:p>
          <w:p w:rsidR="00212D82" w:rsidRDefault="006144E2" w:rsidP="000C020E">
            <w:pPr>
              <w:pStyle w:val="Tabel-BrdtekstmedafstandptekstGaramond"/>
              <w:rPr>
                <w:rFonts w:eastAsia="Calibri"/>
                <w:szCs w:val="22"/>
              </w:rPr>
            </w:pPr>
            <w:r w:rsidRPr="006144E2">
              <w:rPr>
                <w:rFonts w:eastAsia="Calibri"/>
                <w:b/>
                <w:szCs w:val="22"/>
              </w:rPr>
              <w:t>Udvidelse af tonnageskatten med boreskibe og -rigge</w:t>
            </w:r>
          </w:p>
          <w:p w:rsidR="00212D82" w:rsidRDefault="00212D82" w:rsidP="00212D82">
            <w:pPr>
              <w:pStyle w:val="Tabel-BrdtekstmedafstandptekstGaramond"/>
              <w:rPr>
                <w:rFonts w:eastAsia="Calibri"/>
                <w:szCs w:val="22"/>
              </w:rPr>
            </w:pPr>
            <w:r>
              <w:rPr>
                <w:rFonts w:eastAsia="Calibri"/>
                <w:szCs w:val="22"/>
              </w:rPr>
              <w:t xml:space="preserve">Rederiforeningen foreslår, </w:t>
            </w:r>
            <w:r w:rsidRPr="00D05DE9">
              <w:rPr>
                <w:rFonts w:eastAsia="Calibri"/>
                <w:szCs w:val="22"/>
              </w:rPr>
              <w:t>at to</w:t>
            </w:r>
            <w:r w:rsidRPr="00D05DE9">
              <w:rPr>
                <w:rFonts w:eastAsia="Calibri"/>
                <w:szCs w:val="22"/>
              </w:rPr>
              <w:t>n</w:t>
            </w:r>
            <w:r w:rsidRPr="00D05DE9">
              <w:rPr>
                <w:rFonts w:eastAsia="Calibri"/>
                <w:szCs w:val="22"/>
              </w:rPr>
              <w:lastRenderedPageBreak/>
              <w:t xml:space="preserve">nageskatteordningen </w:t>
            </w:r>
            <w:r w:rsidR="00F3314E">
              <w:rPr>
                <w:rFonts w:eastAsia="Calibri"/>
                <w:szCs w:val="22"/>
              </w:rPr>
              <w:t>også udvides med de aktiviteter, der udføres af</w:t>
            </w:r>
            <w:r>
              <w:rPr>
                <w:rFonts w:eastAsia="Calibri"/>
                <w:szCs w:val="22"/>
              </w:rPr>
              <w:t xml:space="preserve"> </w:t>
            </w:r>
            <w:r w:rsidRPr="00D05DE9">
              <w:rPr>
                <w:rFonts w:eastAsia="Calibri"/>
                <w:szCs w:val="22"/>
              </w:rPr>
              <w:t>mobile borerigge</w:t>
            </w:r>
            <w:r>
              <w:rPr>
                <w:rFonts w:eastAsia="Calibri"/>
                <w:szCs w:val="22"/>
              </w:rPr>
              <w:t xml:space="preserve"> og </w:t>
            </w:r>
            <w:r w:rsidRPr="00D05DE9">
              <w:rPr>
                <w:rFonts w:eastAsia="Calibri"/>
                <w:szCs w:val="22"/>
              </w:rPr>
              <w:t>boreskibe.</w:t>
            </w:r>
            <w:r>
              <w:rPr>
                <w:rFonts w:eastAsia="Calibri"/>
                <w:szCs w:val="22"/>
              </w:rPr>
              <w:t xml:space="preserve"> </w:t>
            </w:r>
          </w:p>
          <w:p w:rsidR="00212D82" w:rsidRDefault="00212D82" w:rsidP="00212D82">
            <w:pPr>
              <w:pStyle w:val="Tabel-BrdtekstmedafstandptekstGaramond"/>
              <w:rPr>
                <w:rFonts w:eastAsia="Calibri"/>
                <w:szCs w:val="22"/>
              </w:rPr>
            </w:pPr>
          </w:p>
          <w:p w:rsidR="00212D82" w:rsidRDefault="00212D82" w:rsidP="00212D82">
            <w:pPr>
              <w:pStyle w:val="Tabel-BrdtekstmedafstandptekstGaramond"/>
              <w:rPr>
                <w:rFonts w:eastAsia="Calibri"/>
                <w:szCs w:val="22"/>
              </w:rPr>
            </w:pPr>
            <w:r>
              <w:rPr>
                <w:rFonts w:eastAsia="Calibri"/>
                <w:szCs w:val="22"/>
              </w:rPr>
              <w:t>Der peges i den forbindelse på, at den a</w:t>
            </w:r>
            <w:r w:rsidRPr="00212D82">
              <w:rPr>
                <w:rFonts w:eastAsia="Calibri"/>
                <w:szCs w:val="22"/>
              </w:rPr>
              <w:t>lmindelig</w:t>
            </w:r>
            <w:r>
              <w:rPr>
                <w:rFonts w:eastAsia="Calibri"/>
                <w:szCs w:val="22"/>
              </w:rPr>
              <w:t>e</w:t>
            </w:r>
            <w:r w:rsidRPr="00212D82">
              <w:rPr>
                <w:rFonts w:eastAsia="Calibri"/>
                <w:szCs w:val="22"/>
              </w:rPr>
              <w:t xml:space="preserve"> dansk</w:t>
            </w:r>
            <w:r>
              <w:rPr>
                <w:rFonts w:eastAsia="Calibri"/>
                <w:szCs w:val="22"/>
              </w:rPr>
              <w:t>e</w:t>
            </w:r>
            <w:r w:rsidRPr="00212D82">
              <w:rPr>
                <w:rFonts w:eastAsia="Calibri"/>
                <w:szCs w:val="22"/>
              </w:rPr>
              <w:t xml:space="preserve"> selskab</w:t>
            </w:r>
            <w:r w:rsidRPr="00212D82">
              <w:rPr>
                <w:rFonts w:eastAsia="Calibri"/>
                <w:szCs w:val="22"/>
              </w:rPr>
              <w:t>s</w:t>
            </w:r>
            <w:r w:rsidRPr="00212D82">
              <w:rPr>
                <w:rFonts w:eastAsia="Calibri"/>
                <w:szCs w:val="22"/>
              </w:rPr>
              <w:t xml:space="preserve">beskatning af boreselskaber ikke længere </w:t>
            </w:r>
            <w:r>
              <w:rPr>
                <w:rFonts w:eastAsia="Calibri"/>
                <w:szCs w:val="22"/>
              </w:rPr>
              <w:t xml:space="preserve">er </w:t>
            </w:r>
            <w:r w:rsidRPr="00212D82">
              <w:rPr>
                <w:rFonts w:eastAsia="Calibri"/>
                <w:szCs w:val="22"/>
              </w:rPr>
              <w:t xml:space="preserve">konkurrencedygtig, da flere lande tilbyder </w:t>
            </w:r>
            <w:r>
              <w:rPr>
                <w:rFonts w:eastAsia="Calibri"/>
                <w:szCs w:val="22"/>
              </w:rPr>
              <w:t xml:space="preserve">en </w:t>
            </w:r>
            <w:r w:rsidRPr="00212D82">
              <w:rPr>
                <w:rFonts w:eastAsia="Calibri"/>
                <w:szCs w:val="22"/>
              </w:rPr>
              <w:t xml:space="preserve">langt mere konkurrencedygtig beskatning. Et eksempel </w:t>
            </w:r>
            <w:r w:rsidR="00F3314E">
              <w:rPr>
                <w:rFonts w:eastAsia="Calibri"/>
                <w:szCs w:val="22"/>
              </w:rPr>
              <w:t xml:space="preserve">herpå </w:t>
            </w:r>
            <w:r w:rsidRPr="00212D82">
              <w:rPr>
                <w:rFonts w:eastAsia="Calibri"/>
                <w:szCs w:val="22"/>
              </w:rPr>
              <w:t>er Singapore, som har set en betydelig vækst i disse aktiviteter de senere år. De seneste år er der derimod ikke indregistr</w:t>
            </w:r>
            <w:r w:rsidRPr="00212D82">
              <w:rPr>
                <w:rFonts w:eastAsia="Calibri"/>
                <w:szCs w:val="22"/>
              </w:rPr>
              <w:t>e</w:t>
            </w:r>
            <w:r w:rsidRPr="00212D82">
              <w:rPr>
                <w:rFonts w:eastAsia="Calibri"/>
                <w:szCs w:val="22"/>
              </w:rPr>
              <w:t xml:space="preserve">ret nye boreskibe eller </w:t>
            </w:r>
            <w:r>
              <w:rPr>
                <w:rFonts w:eastAsia="Calibri"/>
                <w:szCs w:val="22"/>
              </w:rPr>
              <w:t>bore</w:t>
            </w:r>
            <w:r w:rsidRPr="00212D82">
              <w:rPr>
                <w:rFonts w:eastAsia="Calibri"/>
                <w:szCs w:val="22"/>
              </w:rPr>
              <w:t>rigge i Danmark til trods for, at der i den periode er sket en større vækst i sektoren.</w:t>
            </w:r>
          </w:p>
          <w:p w:rsidR="00F3314E" w:rsidRDefault="00F3314E" w:rsidP="00212D82">
            <w:pPr>
              <w:pStyle w:val="Tabel-BrdtekstmedafstandptekstGaramond"/>
              <w:rPr>
                <w:rFonts w:eastAsia="Calibri"/>
                <w:szCs w:val="22"/>
              </w:rPr>
            </w:pPr>
          </w:p>
          <w:p w:rsidR="00212D82" w:rsidRDefault="00F3314E" w:rsidP="000C020E">
            <w:pPr>
              <w:pStyle w:val="Tabel-BrdtekstmedafstandptekstGaramond"/>
              <w:rPr>
                <w:rFonts w:eastAsia="Calibri"/>
                <w:szCs w:val="22"/>
              </w:rPr>
            </w:pPr>
            <w:r>
              <w:rPr>
                <w:szCs w:val="22"/>
              </w:rPr>
              <w:t>Rederiforeningen vurderer, at en udvidelse af tonnageskatteordni</w:t>
            </w:r>
            <w:r>
              <w:rPr>
                <w:szCs w:val="22"/>
              </w:rPr>
              <w:t>n</w:t>
            </w:r>
            <w:r>
              <w:rPr>
                <w:szCs w:val="22"/>
              </w:rPr>
              <w:t>gen med borerigge og boreskibe vil medføre, at den dansk flagede rigflåde vil stige med 50-100 pct. på kort sigt, og at antallet af ansa</w:t>
            </w:r>
            <w:r>
              <w:rPr>
                <w:szCs w:val="22"/>
              </w:rPr>
              <w:t>t</w:t>
            </w:r>
            <w:r>
              <w:rPr>
                <w:szCs w:val="22"/>
              </w:rPr>
              <w:t>te på land vil vokse med i større</w:t>
            </w:r>
            <w:r>
              <w:rPr>
                <w:szCs w:val="22"/>
              </w:rPr>
              <w:t>l</w:t>
            </w:r>
            <w:r>
              <w:rPr>
                <w:szCs w:val="22"/>
              </w:rPr>
              <w:t>sesordenen 100 specialister.</w:t>
            </w:r>
          </w:p>
          <w:p w:rsidR="00212D82" w:rsidRDefault="00212D82" w:rsidP="000C020E">
            <w:pPr>
              <w:pStyle w:val="Tabel-BrdtekstmedafstandptekstGaramond"/>
              <w:rPr>
                <w:rFonts w:eastAsia="Calibri"/>
                <w:szCs w:val="22"/>
              </w:rPr>
            </w:pPr>
          </w:p>
          <w:p w:rsidR="00F3314E" w:rsidRDefault="000C020E" w:rsidP="000C020E">
            <w:pPr>
              <w:pStyle w:val="Tabel-BrdtekstmedafstandptekstGaramond"/>
              <w:rPr>
                <w:rFonts w:eastAsia="Calibri"/>
                <w:szCs w:val="22"/>
              </w:rPr>
            </w:pPr>
            <w:r>
              <w:rPr>
                <w:rFonts w:eastAsia="Calibri"/>
                <w:szCs w:val="22"/>
              </w:rPr>
              <w:t xml:space="preserve">Konkret foreslås en ordning, hvor nyere borerigge gives adgang til tonnageskatteordningen med </w:t>
            </w:r>
            <w:r w:rsidR="00F3314E">
              <w:rPr>
                <w:rFonts w:eastAsia="Calibri"/>
                <w:szCs w:val="22"/>
              </w:rPr>
              <w:t>sa</w:t>
            </w:r>
            <w:r w:rsidR="00F3314E">
              <w:rPr>
                <w:rFonts w:eastAsia="Calibri"/>
                <w:szCs w:val="22"/>
              </w:rPr>
              <w:t>t</w:t>
            </w:r>
            <w:r w:rsidR="00F3314E">
              <w:rPr>
                <w:rFonts w:eastAsia="Calibri"/>
                <w:szCs w:val="22"/>
              </w:rPr>
              <w:t>ser, der er 3-4 gange så høje som de satser, der gælder for andre skibs- og fartøjstyper.</w:t>
            </w:r>
            <w:r w:rsidR="009343E5">
              <w:rPr>
                <w:rFonts w:eastAsia="Calibri"/>
                <w:szCs w:val="22"/>
              </w:rPr>
              <w:t xml:space="preserve"> </w:t>
            </w:r>
            <w:r w:rsidR="009343E5" w:rsidRPr="009343E5">
              <w:rPr>
                <w:rFonts w:eastAsia="Calibri"/>
                <w:szCs w:val="22"/>
              </w:rPr>
              <w:t>Hermed kan der laves en udvidelse, hvor den umiddelbare provenuudgift vil v</w:t>
            </w:r>
            <w:r w:rsidR="009343E5" w:rsidRPr="009343E5">
              <w:rPr>
                <w:rFonts w:eastAsia="Calibri"/>
                <w:szCs w:val="22"/>
              </w:rPr>
              <w:t>æ</w:t>
            </w:r>
            <w:r w:rsidR="009343E5" w:rsidRPr="009343E5">
              <w:rPr>
                <w:rFonts w:eastAsia="Calibri"/>
                <w:szCs w:val="22"/>
              </w:rPr>
              <w:t>re i størrelsesordenen 10 – 20 mio. kr. Dette inkluderer ikke A-skatter fra et øget antal beskæftigede og deraf afledte effekter hos danske underleverandører.</w:t>
            </w:r>
          </w:p>
          <w:p w:rsidR="00D82525" w:rsidRDefault="00D82525" w:rsidP="000C020E">
            <w:pPr>
              <w:pStyle w:val="Tabel-BrdtekstmedafstandptekstGaramond"/>
              <w:rPr>
                <w:rFonts w:eastAsia="Calibri"/>
                <w:szCs w:val="22"/>
              </w:rPr>
            </w:pPr>
          </w:p>
          <w:p w:rsidR="00F3314E" w:rsidRPr="009343E5" w:rsidRDefault="009343E5" w:rsidP="000C020E">
            <w:pPr>
              <w:pStyle w:val="Tabel-BrdtekstmedafstandptekstGaramond"/>
              <w:rPr>
                <w:rFonts w:eastAsia="Calibri"/>
                <w:b/>
                <w:szCs w:val="22"/>
              </w:rPr>
            </w:pPr>
            <w:r w:rsidRPr="009343E5">
              <w:rPr>
                <w:rFonts w:eastAsia="Calibri"/>
                <w:b/>
                <w:szCs w:val="22"/>
              </w:rPr>
              <w:t>Udvidelse af nettolønsordni</w:t>
            </w:r>
            <w:r w:rsidRPr="009343E5">
              <w:rPr>
                <w:rFonts w:eastAsia="Calibri"/>
                <w:b/>
                <w:szCs w:val="22"/>
              </w:rPr>
              <w:t>n</w:t>
            </w:r>
            <w:r w:rsidRPr="009343E5">
              <w:rPr>
                <w:rFonts w:eastAsia="Calibri"/>
                <w:b/>
                <w:szCs w:val="22"/>
              </w:rPr>
              <w:t>gen for søfolk på specialskibe</w:t>
            </w:r>
          </w:p>
          <w:p w:rsidR="00E94E88" w:rsidRDefault="00E94E88" w:rsidP="000C020E">
            <w:pPr>
              <w:pStyle w:val="Tabel-BrdtekstmedafstandptekstGaramond"/>
              <w:rPr>
                <w:rFonts w:eastAsia="Calibri"/>
                <w:szCs w:val="22"/>
              </w:rPr>
            </w:pPr>
            <w:r>
              <w:rPr>
                <w:rFonts w:eastAsia="Calibri"/>
                <w:szCs w:val="22"/>
              </w:rPr>
              <w:lastRenderedPageBreak/>
              <w:t xml:space="preserve">Rederiforeningen foreslår, </w:t>
            </w:r>
            <w:r w:rsidR="000C020E">
              <w:rPr>
                <w:rFonts w:eastAsia="Calibri"/>
                <w:szCs w:val="22"/>
              </w:rPr>
              <w:t>at DIS-</w:t>
            </w:r>
            <w:r w:rsidR="000C020E" w:rsidRPr="00D05DE9">
              <w:rPr>
                <w:rFonts w:eastAsia="Calibri"/>
                <w:szCs w:val="22"/>
              </w:rPr>
              <w:t>ordningen</w:t>
            </w:r>
            <w:r>
              <w:rPr>
                <w:rFonts w:eastAsia="Calibri"/>
                <w:szCs w:val="22"/>
              </w:rPr>
              <w:t xml:space="preserve"> udvides </w:t>
            </w:r>
            <w:r w:rsidR="000C020E" w:rsidRPr="00D05DE9">
              <w:rPr>
                <w:rFonts w:eastAsia="Calibri"/>
                <w:szCs w:val="22"/>
              </w:rPr>
              <w:t>på samme m</w:t>
            </w:r>
            <w:r w:rsidR="000C020E" w:rsidRPr="00D05DE9">
              <w:rPr>
                <w:rFonts w:eastAsia="Calibri"/>
                <w:szCs w:val="22"/>
              </w:rPr>
              <w:t>å</w:t>
            </w:r>
            <w:r w:rsidR="000C020E" w:rsidRPr="00D05DE9">
              <w:rPr>
                <w:rFonts w:eastAsia="Calibri"/>
                <w:szCs w:val="22"/>
              </w:rPr>
              <w:t>de som tonnageskatte</w:t>
            </w:r>
            <w:r w:rsidR="000C020E">
              <w:rPr>
                <w:rFonts w:eastAsia="Calibri"/>
                <w:szCs w:val="22"/>
              </w:rPr>
              <w:t>ordninge</w:t>
            </w:r>
            <w:r w:rsidR="000C020E" w:rsidRPr="00D05DE9">
              <w:rPr>
                <w:rFonts w:eastAsia="Calibri"/>
                <w:szCs w:val="22"/>
              </w:rPr>
              <w:t>n</w:t>
            </w:r>
            <w:r>
              <w:rPr>
                <w:rFonts w:eastAsia="Calibri"/>
                <w:szCs w:val="22"/>
              </w:rPr>
              <w:t xml:space="preserve">. Dette er helt afgørende for </w:t>
            </w:r>
            <w:r>
              <w:rPr>
                <w:szCs w:val="22"/>
              </w:rPr>
              <w:t>at opnå regeringens målsætning med lo</w:t>
            </w:r>
            <w:r>
              <w:rPr>
                <w:szCs w:val="22"/>
              </w:rPr>
              <w:t>v</w:t>
            </w:r>
            <w:r>
              <w:rPr>
                <w:szCs w:val="22"/>
              </w:rPr>
              <w:t>forslaget, som er at tiltrække skibe og beskæftigelse til Danmark.</w:t>
            </w:r>
          </w:p>
          <w:p w:rsidR="00E94E88" w:rsidRDefault="00E94E88" w:rsidP="000C020E">
            <w:pPr>
              <w:pStyle w:val="Tabel-BrdtekstmedafstandptekstGaramond"/>
              <w:rPr>
                <w:rFonts w:eastAsia="Calibri"/>
                <w:szCs w:val="22"/>
              </w:rPr>
            </w:pPr>
          </w:p>
          <w:p w:rsidR="000C020E" w:rsidRDefault="000C020E" w:rsidP="000C020E">
            <w:pPr>
              <w:pStyle w:val="Tabel-BrdtekstmedafstandptekstGaramond"/>
            </w:pPr>
            <w:r>
              <w:t>Det er ifølge Rederiforeningen vi</w:t>
            </w:r>
            <w:r>
              <w:t>g</w:t>
            </w:r>
            <w:r>
              <w:t>tigt med et bredt anvendelseso</w:t>
            </w:r>
            <w:r>
              <w:t>m</w:t>
            </w:r>
            <w:r>
              <w:t>råde for DIS-ordningen, så søfo</w:t>
            </w:r>
            <w:r>
              <w:t>l</w:t>
            </w:r>
            <w:r>
              <w:t>kene ikke risikerer at falde ud af ordningen, blot skibet kortvarigt udfører aktivitet, der falder uden for ordningen. En sådan usikke</w:t>
            </w:r>
            <w:r>
              <w:t>r</w:t>
            </w:r>
            <w:r>
              <w:t>hed kan i sig selv få rederier til at fravælge dansk flag og danske s</w:t>
            </w:r>
            <w:r>
              <w:t>ø</w:t>
            </w:r>
            <w:r>
              <w:t xml:space="preserve">folk. </w:t>
            </w:r>
          </w:p>
          <w:p w:rsidR="000C020E" w:rsidRDefault="000C020E" w:rsidP="000C020E">
            <w:pPr>
              <w:pStyle w:val="Tabel-BrdtekstmedafstandptekstGaramond"/>
            </w:pPr>
          </w:p>
          <w:p w:rsidR="000C020E" w:rsidRDefault="000C020E" w:rsidP="000C020E">
            <w:pPr>
              <w:pStyle w:val="Tabel-BrdtekstmedafstandptekstGaramond"/>
            </w:pPr>
            <w:r>
              <w:t>Rederiforeningen foreslår derfor, at såfremt skibets hovedaktivitet kvalificerer til tonnageskatteor</w:t>
            </w:r>
            <w:r>
              <w:t>d</w:t>
            </w:r>
            <w:r>
              <w:t>ningen og DIS-ordningen, bør s</w:t>
            </w:r>
            <w:r>
              <w:t>ø</w:t>
            </w:r>
            <w:r>
              <w:t xml:space="preserve">folkenes </w:t>
            </w:r>
            <w:r w:rsidR="00E94E88">
              <w:t xml:space="preserve">fulde </w:t>
            </w:r>
            <w:r>
              <w:t>indkomst være o</w:t>
            </w:r>
            <w:r>
              <w:t>m</w:t>
            </w:r>
            <w:r>
              <w:t>fattet af ordningen, fordi aktivit</w:t>
            </w:r>
            <w:r>
              <w:t>e</w:t>
            </w:r>
            <w:r>
              <w:t>terne som hovedregel ikke er i d</w:t>
            </w:r>
            <w:r>
              <w:t>i</w:t>
            </w:r>
            <w:r>
              <w:t xml:space="preserve">rekte konkurrence med aktiviteter i land. </w:t>
            </w:r>
          </w:p>
          <w:p w:rsidR="000C020E" w:rsidRDefault="000C020E" w:rsidP="000C020E">
            <w:pPr>
              <w:pStyle w:val="Tabel-BrdtekstmedafstandptekstGaramond"/>
            </w:pPr>
          </w:p>
          <w:p w:rsidR="00A60462" w:rsidRDefault="000C020E" w:rsidP="000C020E">
            <w:pPr>
              <w:pStyle w:val="Tabel-BrdtekstmedafstandptekstGaramond"/>
            </w:pPr>
            <w:r>
              <w:t>Rederiforeningen fremhæver, at det for den enkelte sømand vil v</w:t>
            </w:r>
            <w:r>
              <w:t>æ</w:t>
            </w:r>
            <w:r>
              <w:t>re administrativt tungt og helt uoverskueligt at skifte mellem ne</w:t>
            </w:r>
            <w:r>
              <w:t>t</w:t>
            </w:r>
            <w:r>
              <w:t>to- og bruttoløn.</w:t>
            </w:r>
          </w:p>
        </w:tc>
        <w:tc>
          <w:tcPr>
            <w:tcW w:w="230" w:type="dxa"/>
            <w:shd w:val="clear" w:color="auto" w:fill="FFFFFF" w:themeFill="background1"/>
          </w:tcPr>
          <w:p w:rsidR="00D80501" w:rsidRPr="00B5346F" w:rsidRDefault="00D80501" w:rsidP="00712257"/>
        </w:tc>
        <w:tc>
          <w:tcPr>
            <w:tcW w:w="3443" w:type="dxa"/>
            <w:tcBorders>
              <w:bottom w:val="single" w:sz="4" w:space="0" w:color="14143C" w:themeColor="accent1"/>
            </w:tcBorders>
            <w:shd w:val="clear" w:color="auto" w:fill="D2CED8"/>
          </w:tcPr>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0C020E" w:rsidRDefault="000C020E" w:rsidP="000C020E">
            <w:pPr>
              <w:pStyle w:val="Tabel-BrdtekstmedafstandptekstGaramond"/>
            </w:pPr>
          </w:p>
          <w:p w:rsidR="008B122F" w:rsidRDefault="008B122F" w:rsidP="000C020E">
            <w:pPr>
              <w:pStyle w:val="Tabel-BrdtekstmedafstandptekstGaramond"/>
            </w:pPr>
          </w:p>
          <w:p w:rsidR="008B122F" w:rsidRDefault="008B122F" w:rsidP="000C020E">
            <w:pPr>
              <w:pStyle w:val="Tabel-BrdtekstmedafstandptekstGaramond"/>
            </w:pPr>
          </w:p>
          <w:p w:rsidR="000C020E" w:rsidRPr="00C1107D" w:rsidRDefault="000C020E" w:rsidP="000C020E">
            <w:pPr>
              <w:pStyle w:val="Tabel-BrdtekstmedafstandptekstGaramond"/>
              <w:rPr>
                <w:szCs w:val="22"/>
              </w:rPr>
            </w:pPr>
            <w:r>
              <w:t>De</w:t>
            </w:r>
            <w:r w:rsidR="002E409A">
              <w:t>t bemærkes</w:t>
            </w:r>
            <w:r w:rsidR="008B6804">
              <w:t xml:space="preserve"> indledningsvist</w:t>
            </w:r>
            <w:r w:rsidR="002E409A">
              <w:t>, at de</w:t>
            </w:r>
            <w:r>
              <w:t xml:space="preserve"> aktiviteter, som tonnageskatt</w:t>
            </w:r>
            <w:r>
              <w:t>e</w:t>
            </w:r>
            <w:r>
              <w:t xml:space="preserve">ordningen foreslås udvidet med, er beskrevet med udgangspunkt </w:t>
            </w:r>
            <w:r w:rsidR="001E2321">
              <w:t xml:space="preserve">i </w:t>
            </w:r>
            <w:r>
              <w:rPr>
                <w:i/>
                <w:iCs/>
              </w:rPr>
              <w:t>A</w:t>
            </w:r>
            <w:r>
              <w:rPr>
                <w:i/>
                <w:iCs/>
              </w:rPr>
              <w:t>f</w:t>
            </w:r>
            <w:r>
              <w:rPr>
                <w:i/>
                <w:iCs/>
              </w:rPr>
              <w:t>tale om en vækstpakke</w:t>
            </w:r>
            <w:r w:rsidR="002E409A">
              <w:t xml:space="preserve"> fra juni 2014,</w:t>
            </w:r>
            <w:r>
              <w:t xml:space="preserve"> </w:t>
            </w:r>
            <w:r w:rsidR="008B6804">
              <w:t>hvis initiativ om styrkede ramm</w:t>
            </w:r>
            <w:r w:rsidR="008B6804">
              <w:t>e</w:t>
            </w:r>
            <w:r w:rsidR="008B6804">
              <w:t>vilkår for offshore skibe l</w:t>
            </w:r>
            <w:r>
              <w:t>ovforsl</w:t>
            </w:r>
            <w:r>
              <w:t>a</w:t>
            </w:r>
            <w:r>
              <w:t>get udmønt</w:t>
            </w:r>
            <w:r w:rsidR="001E2321">
              <w:t>er</w:t>
            </w:r>
            <w:r w:rsidR="00937A58">
              <w:t xml:space="preserve"> en del af</w:t>
            </w:r>
            <w:r>
              <w:t xml:space="preserve">. </w:t>
            </w:r>
            <w:r w:rsidRPr="00C1107D">
              <w:rPr>
                <w:szCs w:val="22"/>
              </w:rPr>
              <w:t xml:space="preserve"> </w:t>
            </w:r>
          </w:p>
          <w:p w:rsidR="000C020E" w:rsidRDefault="000C020E" w:rsidP="000C020E">
            <w:pPr>
              <w:pStyle w:val="Tabel-BrdtekstmedafstandptekstGaramond"/>
              <w:rPr>
                <w:szCs w:val="22"/>
              </w:rPr>
            </w:pPr>
          </w:p>
          <w:p w:rsidR="00164C36" w:rsidRDefault="00164C36" w:rsidP="000C020E">
            <w:pPr>
              <w:pStyle w:val="Tabel-BrdtekstmedafstandptekstGaramond"/>
            </w:pPr>
            <w:r>
              <w:t>Det bemærkes dernæst, at u</w:t>
            </w:r>
            <w:r>
              <w:t>d</w:t>
            </w:r>
            <w:r>
              <w:t>formningen af udvidelsen er æ</w:t>
            </w:r>
            <w:r>
              <w:t>n</w:t>
            </w:r>
            <w:r>
              <w:t>dret i lovforslaget som fremsat i forhold til udformningen i h</w:t>
            </w:r>
            <w:r>
              <w:t>ø</w:t>
            </w:r>
            <w:r>
              <w:t>ringsudkastet. I stedet for at udv</w:t>
            </w:r>
            <w:r>
              <w:t>i</w:t>
            </w:r>
            <w:r>
              <w:t>delsen gennemføres ved en æ</w:t>
            </w:r>
            <w:r>
              <w:t>n</w:t>
            </w:r>
            <w:r>
              <w:t>dring af tonnageskattelovens § 8, er de aktiviteter, som tonnageska</w:t>
            </w:r>
            <w:r>
              <w:t>t</w:t>
            </w:r>
            <w:r>
              <w:t>teordningen udvides med, nu o</w:t>
            </w:r>
            <w:r>
              <w:t>p</w:t>
            </w:r>
            <w:r>
              <w:t>regnet i en ny § 8 a.</w:t>
            </w:r>
          </w:p>
          <w:p w:rsidR="00C85EE0" w:rsidRDefault="00C85EE0" w:rsidP="000C020E">
            <w:pPr>
              <w:pStyle w:val="Tabel-BrdtekstmedafstandptekstGaramond"/>
            </w:pPr>
          </w:p>
          <w:p w:rsidR="00C85EE0" w:rsidRDefault="00C85EE0" w:rsidP="000C020E">
            <w:pPr>
              <w:pStyle w:val="Tabel-BrdtekstmedafstandptekstGaramond"/>
            </w:pPr>
            <w:r w:rsidRPr="00C85EE0">
              <w:t>De pågældende aktiviteter vil med forslaget blive omfattet af tonn</w:t>
            </w:r>
            <w:r w:rsidRPr="00C85EE0">
              <w:t>a</w:t>
            </w:r>
            <w:r w:rsidRPr="00C85EE0">
              <w:t>geskatteordningen, uden at det er en betingelse herfor, at der er tale om transport af passagerer eller gods, og uden at det er en beti</w:t>
            </w:r>
            <w:r w:rsidRPr="00C85EE0">
              <w:t>n</w:t>
            </w:r>
            <w:r w:rsidRPr="00C85EE0">
              <w:t>gelse, at aktiviteterne udøves me</w:t>
            </w:r>
            <w:r w:rsidRPr="00C85EE0">
              <w:t>l</w:t>
            </w:r>
            <w:r w:rsidRPr="00C85EE0">
              <w:t>lem forskellige destinationer, som det i dag kræves efter tonnageska</w:t>
            </w:r>
            <w:r w:rsidRPr="00C85EE0">
              <w:t>t</w:t>
            </w:r>
            <w:r w:rsidRPr="00C85EE0">
              <w:t>telo</w:t>
            </w:r>
            <w:r w:rsidR="00787C1D">
              <w:t>vens § 6.</w:t>
            </w:r>
            <w:r w:rsidR="008B122F">
              <w:t xml:space="preserve"> </w:t>
            </w:r>
          </w:p>
          <w:p w:rsidR="00C85EE0" w:rsidRDefault="00C85EE0" w:rsidP="000C020E">
            <w:pPr>
              <w:pStyle w:val="Tabel-BrdtekstmedafstandptekstGaramond"/>
            </w:pPr>
          </w:p>
          <w:p w:rsidR="008B6804" w:rsidRDefault="00C85EE0" w:rsidP="000C020E">
            <w:pPr>
              <w:pStyle w:val="Tabel-BrdtekstmedafstandptekstGaramond"/>
            </w:pPr>
            <w:r>
              <w:t>I lovforslaget som fremsat er a</w:t>
            </w:r>
            <w:r>
              <w:t>f</w:t>
            </w:r>
            <w:r>
              <w:t xml:space="preserve">grænsningen af </w:t>
            </w:r>
            <w:r w:rsidR="00787C1D">
              <w:t xml:space="preserve">de </w:t>
            </w:r>
            <w:r w:rsidR="00787C1D" w:rsidRPr="00C85EE0">
              <w:rPr>
                <w:iCs/>
              </w:rPr>
              <w:t>aktiviteter med konstruktionsopgaver til søs</w:t>
            </w:r>
            <w:r w:rsidR="00787C1D">
              <w:rPr>
                <w:iCs/>
              </w:rPr>
              <w:t xml:space="preserve">, der kan omfattes af ordningen, </w:t>
            </w:r>
            <w:r w:rsidR="008B122F">
              <w:rPr>
                <w:iCs/>
              </w:rPr>
              <w:t>de</w:t>
            </w:r>
            <w:r w:rsidR="008B122F">
              <w:rPr>
                <w:iCs/>
              </w:rPr>
              <w:t>r</w:t>
            </w:r>
            <w:r w:rsidR="008B122F">
              <w:rPr>
                <w:iCs/>
              </w:rPr>
              <w:t xml:space="preserve">næst </w:t>
            </w:r>
            <w:r w:rsidR="00787C1D">
              <w:rPr>
                <w:iCs/>
              </w:rPr>
              <w:t>udvidet i forhold til høring</w:t>
            </w:r>
            <w:r w:rsidR="00787C1D">
              <w:rPr>
                <w:iCs/>
              </w:rPr>
              <w:t>s</w:t>
            </w:r>
            <w:r w:rsidR="00787C1D">
              <w:rPr>
                <w:iCs/>
              </w:rPr>
              <w:lastRenderedPageBreak/>
              <w:t xml:space="preserve">udkastet. Der henvises til § 8 a, nr. 3 i lovforslaget som fremsat. </w:t>
            </w:r>
            <w:r w:rsidR="00787C1D" w:rsidRPr="00C85EE0">
              <w:rPr>
                <w:iCs/>
              </w:rPr>
              <w:t xml:space="preserve"> </w:t>
            </w:r>
          </w:p>
          <w:p w:rsidR="008B122F" w:rsidRDefault="008B122F" w:rsidP="008B122F">
            <w:pPr>
              <w:pStyle w:val="Tabel-BrdtekstmedafstandptekstGaramond"/>
            </w:pPr>
            <w:r>
              <w:t>Til det anførte om den svenske ordning bemærkes dernæst, at det er korrekt, at Sverige har fået u</w:t>
            </w:r>
            <w:r>
              <w:t>d</w:t>
            </w:r>
            <w:r>
              <w:t>videt sin sømandsbeskatningsor</w:t>
            </w:r>
            <w:r>
              <w:t>d</w:t>
            </w:r>
            <w:r>
              <w:t>ning med en række aktiviteter. Det er også korrekt, at det fremgår af den svenske lovgivning, at et af kriterierne for, at disse aktiviteter kan omfattes, er, at der er tale om fartøjer, som ”anvendes i trafik, som er udsat for international konkurrence på søfartsmarkedet.”</w:t>
            </w:r>
          </w:p>
          <w:p w:rsidR="008B122F" w:rsidRDefault="008B122F" w:rsidP="008B122F">
            <w:pPr>
              <w:pStyle w:val="Tabel-BrdtekstmedafstandptekstGaramond"/>
            </w:pPr>
          </w:p>
          <w:p w:rsidR="008B122F" w:rsidRDefault="008B122F" w:rsidP="008B122F">
            <w:pPr>
              <w:pStyle w:val="Tabel-BrdtekstmedafstandptekstGaramond"/>
            </w:pPr>
            <w:r>
              <w:t>De aktiviteter, som den svenske sømandsbeskatningsordning reelt er udvidet med, fremgår dog af den notifikationssag, hvori Eur</w:t>
            </w:r>
            <w:r>
              <w:t>o</w:t>
            </w:r>
            <w:r>
              <w:t>pa-Kommissionen har godkendt udvidelsen. Af denne sag fremgår det, at der konkret er udvidet med</w:t>
            </w:r>
            <w:r w:rsidRPr="00C1107D">
              <w:rPr>
                <w:szCs w:val="22"/>
              </w:rPr>
              <w:t xml:space="preserve"> følgende skibstyper: Bugserbåde, opmudringsskibe, undersøgelse</w:t>
            </w:r>
            <w:r w:rsidRPr="00C1107D">
              <w:rPr>
                <w:szCs w:val="22"/>
              </w:rPr>
              <w:t>s</w:t>
            </w:r>
            <w:r w:rsidRPr="00C1107D">
              <w:rPr>
                <w:szCs w:val="22"/>
              </w:rPr>
              <w:t>skibe, kabellægningsskibe, rørlæ</w:t>
            </w:r>
            <w:r w:rsidRPr="00C1107D">
              <w:rPr>
                <w:szCs w:val="22"/>
              </w:rPr>
              <w:t>g</w:t>
            </w:r>
            <w:r w:rsidRPr="00C1107D">
              <w:rPr>
                <w:szCs w:val="22"/>
              </w:rPr>
              <w:t>ningsskibe og kranskibe.</w:t>
            </w:r>
          </w:p>
          <w:p w:rsidR="008B122F" w:rsidRDefault="008B122F" w:rsidP="000C020E">
            <w:pPr>
              <w:pStyle w:val="Tabel-BrdtekstmedafstandptekstGaramond"/>
            </w:pPr>
          </w:p>
          <w:p w:rsidR="00EF3250" w:rsidRDefault="00EF3250" w:rsidP="000C020E">
            <w:pPr>
              <w:pStyle w:val="Tabel-BrdtekstmedafstandptekstGaramond"/>
            </w:pPr>
            <w:r>
              <w:t>Som ovenfor beskrevet er u</w:t>
            </w:r>
            <w:r>
              <w:t>d</w:t>
            </w:r>
            <w:r>
              <w:t>formning</w:t>
            </w:r>
            <w:r w:rsidR="00F0605D">
              <w:t>en</w:t>
            </w:r>
            <w:r>
              <w:t xml:space="preserve"> af lovforslaget ændret, herunder forslaget i høringsudk</w:t>
            </w:r>
            <w:r>
              <w:t>a</w:t>
            </w:r>
            <w:r>
              <w:t>stets § 1, nr. 4.</w:t>
            </w:r>
            <w:r w:rsidR="00F0605D">
              <w:t xml:space="preserve"> </w:t>
            </w:r>
            <w:r>
              <w:t>Ændringen for a</w:t>
            </w:r>
            <w:r>
              <w:t>k</w:t>
            </w:r>
            <w:r>
              <w:t xml:space="preserve">tiviteter med ishåndtering fremgår nu af forslaget til § 8 a, nr. 4. Det indebærer, at der ikke gælder et skærpet flagkrav, medmindre </w:t>
            </w:r>
            <w:r w:rsidR="004103A4" w:rsidRPr="004103A4">
              <w:rPr>
                <w:iCs/>
              </w:rPr>
              <w:t>akt</w:t>
            </w:r>
            <w:r w:rsidR="004103A4" w:rsidRPr="004103A4">
              <w:rPr>
                <w:iCs/>
              </w:rPr>
              <w:t>i</w:t>
            </w:r>
            <w:r w:rsidR="004103A4" w:rsidRPr="004103A4">
              <w:rPr>
                <w:iCs/>
              </w:rPr>
              <w:t>vitet</w:t>
            </w:r>
            <w:r w:rsidR="004103A4">
              <w:rPr>
                <w:iCs/>
              </w:rPr>
              <w:t>en</w:t>
            </w:r>
            <w:r w:rsidR="004103A4" w:rsidRPr="004103A4">
              <w:rPr>
                <w:iCs/>
              </w:rPr>
              <w:t xml:space="preserve"> </w:t>
            </w:r>
            <w:r w:rsidR="004103A4">
              <w:rPr>
                <w:iCs/>
              </w:rPr>
              <w:t>må</w:t>
            </w:r>
            <w:r w:rsidR="004103A4" w:rsidRPr="004103A4">
              <w:rPr>
                <w:iCs/>
              </w:rPr>
              <w:t xml:space="preserve"> kvalificeres som egen</w:t>
            </w:r>
            <w:r w:rsidR="004103A4" w:rsidRPr="004103A4">
              <w:rPr>
                <w:iCs/>
              </w:rPr>
              <w:t>t</w:t>
            </w:r>
            <w:r w:rsidR="004103A4" w:rsidRPr="004103A4">
              <w:rPr>
                <w:iCs/>
              </w:rPr>
              <w:t>lig bugsering</w:t>
            </w:r>
            <w:r w:rsidR="004103A4">
              <w:rPr>
                <w:iCs/>
              </w:rPr>
              <w:t>.</w:t>
            </w:r>
          </w:p>
          <w:p w:rsidR="00A855AF" w:rsidRDefault="00A855AF" w:rsidP="000C020E">
            <w:pPr>
              <w:pStyle w:val="Tabel-BrdtekstmedafstandptekstGaramond"/>
            </w:pPr>
          </w:p>
          <w:p w:rsidR="000C020E" w:rsidRDefault="000C020E" w:rsidP="000C020E">
            <w:pPr>
              <w:pStyle w:val="Tabel-BrdtekstmedafstandptekstGaramond"/>
            </w:pPr>
            <w:r>
              <w:rPr>
                <w:szCs w:val="22"/>
              </w:rPr>
              <w:t xml:space="preserve">Lovforslaget er justeret, så </w:t>
            </w:r>
            <w:r w:rsidR="00A9648F">
              <w:rPr>
                <w:szCs w:val="22"/>
              </w:rPr>
              <w:t>aktivitet med</w:t>
            </w:r>
            <w:r>
              <w:rPr>
                <w:szCs w:val="22"/>
              </w:rPr>
              <w:t xml:space="preserve"> bygning, reparation og ne</w:t>
            </w:r>
            <w:r>
              <w:rPr>
                <w:szCs w:val="22"/>
              </w:rPr>
              <w:t>d</w:t>
            </w:r>
            <w:r>
              <w:rPr>
                <w:szCs w:val="22"/>
              </w:rPr>
              <w:t>tagning af vindmøllepark</w:t>
            </w:r>
            <w:r w:rsidR="00556575">
              <w:rPr>
                <w:szCs w:val="22"/>
              </w:rPr>
              <w:t>er eller andre havanlæg til søs</w:t>
            </w:r>
            <w:r>
              <w:rPr>
                <w:szCs w:val="22"/>
              </w:rPr>
              <w:t xml:space="preserve"> samt ne</w:t>
            </w:r>
            <w:r>
              <w:rPr>
                <w:szCs w:val="22"/>
              </w:rPr>
              <w:t>d</w:t>
            </w:r>
            <w:r>
              <w:rPr>
                <w:szCs w:val="22"/>
              </w:rPr>
              <w:t>lægning, inspektion og reparation af rørledninger eller kabler på ha</w:t>
            </w:r>
            <w:r>
              <w:rPr>
                <w:szCs w:val="22"/>
              </w:rPr>
              <w:t>v</w:t>
            </w:r>
            <w:r>
              <w:rPr>
                <w:szCs w:val="22"/>
              </w:rPr>
              <w:lastRenderedPageBreak/>
              <w:t>bunden</w:t>
            </w:r>
            <w:r w:rsidR="00A9648F">
              <w:rPr>
                <w:szCs w:val="22"/>
              </w:rPr>
              <w:t xml:space="preserve"> omfattes af tonnageska</w:t>
            </w:r>
            <w:r w:rsidR="00A9648F">
              <w:rPr>
                <w:szCs w:val="22"/>
              </w:rPr>
              <w:t>t</w:t>
            </w:r>
            <w:r w:rsidR="00A9648F">
              <w:rPr>
                <w:szCs w:val="22"/>
              </w:rPr>
              <w:t>teordningen. Der henvises til § 8 a, nr. 3</w:t>
            </w:r>
            <w:r w:rsidR="001B4099">
              <w:rPr>
                <w:szCs w:val="22"/>
              </w:rPr>
              <w:t>,</w:t>
            </w:r>
            <w:r w:rsidR="00A9648F">
              <w:rPr>
                <w:szCs w:val="22"/>
              </w:rPr>
              <w:t xml:space="preserve"> i lovforslaget som fremsat</w:t>
            </w:r>
            <w:r w:rsidR="00F0605D">
              <w:rPr>
                <w:szCs w:val="22"/>
              </w:rPr>
              <w:t xml:space="preserve"> og bemærkningerne hertil</w:t>
            </w:r>
            <w:r w:rsidR="00A9648F">
              <w:rPr>
                <w:szCs w:val="22"/>
              </w:rPr>
              <w:t>.</w:t>
            </w:r>
          </w:p>
          <w:p w:rsidR="000C020E" w:rsidRDefault="000C020E" w:rsidP="000C020E">
            <w:pPr>
              <w:pStyle w:val="Tabel-BrdtekstmedafstandptekstGaramond"/>
            </w:pPr>
          </w:p>
          <w:p w:rsidR="000C020E" w:rsidRDefault="00A9648F" w:rsidP="000C020E">
            <w:pPr>
              <w:pStyle w:val="Tabel-BrdtekstmedafstandptekstGaramond"/>
            </w:pPr>
            <w:r>
              <w:t>Ændringen af tonnageskatteor</w:t>
            </w:r>
            <w:r>
              <w:t>d</w:t>
            </w:r>
            <w:r>
              <w:t>ningen for aktiviteter med vagttj</w:t>
            </w:r>
            <w:r>
              <w:t>e</w:t>
            </w:r>
            <w:r>
              <w:t xml:space="preserve">neste fremgår nu af forslaget til § 8 a, nr. 1. </w:t>
            </w:r>
            <w:r w:rsidRPr="004277F1">
              <w:rPr>
                <w:iCs/>
              </w:rPr>
              <w:t>Med forslaget udvides m</w:t>
            </w:r>
            <w:r w:rsidRPr="004277F1">
              <w:rPr>
                <w:iCs/>
              </w:rPr>
              <w:t>u</w:t>
            </w:r>
            <w:r w:rsidRPr="004277F1">
              <w:rPr>
                <w:iCs/>
              </w:rPr>
              <w:t>ligheden for, at indkomst ved vag</w:t>
            </w:r>
            <w:r w:rsidRPr="004277F1">
              <w:rPr>
                <w:iCs/>
              </w:rPr>
              <w:t>t</w:t>
            </w:r>
            <w:r w:rsidRPr="004277F1">
              <w:rPr>
                <w:iCs/>
              </w:rPr>
              <w:t>tjeneste kan omfattes af tonnag</w:t>
            </w:r>
            <w:r w:rsidRPr="004277F1">
              <w:rPr>
                <w:iCs/>
              </w:rPr>
              <w:t>e</w:t>
            </w:r>
            <w:r w:rsidRPr="004277F1">
              <w:rPr>
                <w:iCs/>
              </w:rPr>
              <w:t xml:space="preserve">skatteordningen, da </w:t>
            </w:r>
            <w:r>
              <w:rPr>
                <w:iCs/>
              </w:rPr>
              <w:t>hverken kr</w:t>
            </w:r>
            <w:r>
              <w:rPr>
                <w:iCs/>
              </w:rPr>
              <w:t>a</w:t>
            </w:r>
            <w:r>
              <w:rPr>
                <w:iCs/>
              </w:rPr>
              <w:t>vet om transport af passagerer e</w:t>
            </w:r>
            <w:r>
              <w:rPr>
                <w:iCs/>
              </w:rPr>
              <w:t>l</w:t>
            </w:r>
            <w:r>
              <w:rPr>
                <w:iCs/>
              </w:rPr>
              <w:t xml:space="preserve">ler gods eller </w:t>
            </w:r>
            <w:r w:rsidRPr="004277F1">
              <w:rPr>
                <w:iCs/>
              </w:rPr>
              <w:t>destinationskravet gælder for de aktiviteter, der er omfattet af § 8 a. Det betyder, at vagttjeneste ved f.eks. kabellæ</w:t>
            </w:r>
            <w:r w:rsidRPr="004277F1">
              <w:rPr>
                <w:iCs/>
              </w:rPr>
              <w:t>g</w:t>
            </w:r>
            <w:r w:rsidRPr="004277F1">
              <w:rPr>
                <w:iCs/>
              </w:rPr>
              <w:t>ning og andre ikke faste installat</w:t>
            </w:r>
            <w:r w:rsidRPr="004277F1">
              <w:rPr>
                <w:iCs/>
              </w:rPr>
              <w:t>i</w:t>
            </w:r>
            <w:r w:rsidRPr="004277F1">
              <w:rPr>
                <w:iCs/>
              </w:rPr>
              <w:t>oner fremover vil være omfattet af tonnageskatteordningen.</w:t>
            </w:r>
            <w:r w:rsidR="000C020E">
              <w:t xml:space="preserve"> </w:t>
            </w:r>
          </w:p>
          <w:p w:rsidR="00A9648F" w:rsidRDefault="00A9648F" w:rsidP="000C020E">
            <w:pPr>
              <w:pStyle w:val="Tabel-BrdtekstmedafstandptekstGaramond"/>
            </w:pPr>
          </w:p>
          <w:p w:rsidR="000C020E" w:rsidRDefault="000C020E" w:rsidP="000C020E">
            <w:pPr>
              <w:pStyle w:val="Tabel-BrdtekstmedafstandptekstGaramond"/>
            </w:pPr>
            <w:r>
              <w:t>Afsnittet om gældende ret i lo</w:t>
            </w:r>
            <w:r>
              <w:t>v</w:t>
            </w:r>
            <w:r>
              <w:t>forslagets almindelige bemærkni</w:t>
            </w:r>
            <w:r>
              <w:t>n</w:t>
            </w:r>
            <w:r>
              <w:t xml:space="preserve">ger er </w:t>
            </w:r>
            <w:r w:rsidR="00554E07">
              <w:t>justeret, så det nu indeho</w:t>
            </w:r>
            <w:r w:rsidR="00554E07">
              <w:t>l</w:t>
            </w:r>
            <w:r w:rsidR="00554E07">
              <w:t>der en omtale af den s</w:t>
            </w:r>
            <w:r>
              <w:t>venske s</w:t>
            </w:r>
            <w:r>
              <w:t>ø</w:t>
            </w:r>
            <w:r>
              <w:t>mandsbeskatningsordning.</w:t>
            </w:r>
          </w:p>
          <w:p w:rsidR="00554E07" w:rsidRDefault="00554E07" w:rsidP="000C020E">
            <w:pPr>
              <w:pStyle w:val="Tabel-BrdtekstmedafstandptekstGaramond"/>
            </w:pPr>
          </w:p>
          <w:p w:rsidR="000C020E" w:rsidRDefault="000C020E" w:rsidP="000C020E">
            <w:pPr>
              <w:pStyle w:val="Tabel-BrdtekstmedafstandptekstGaramond"/>
              <w:rPr>
                <w:szCs w:val="22"/>
              </w:rPr>
            </w:pPr>
          </w:p>
          <w:p w:rsidR="000C020E" w:rsidRDefault="007C2E42" w:rsidP="000C020E">
            <w:pPr>
              <w:pStyle w:val="Tabel-BrdtekstmedafstandptekstGaramond"/>
              <w:rPr>
                <w:szCs w:val="22"/>
              </w:rPr>
            </w:pPr>
            <w:r>
              <w:t>Det bemærkes, at destinationskr</w:t>
            </w:r>
            <w:r>
              <w:t>a</w:t>
            </w:r>
            <w:r>
              <w:t>vet ikke gælder for de aktiviteter, som tonnageskatteordningen for</w:t>
            </w:r>
            <w:r>
              <w:t>e</w:t>
            </w:r>
            <w:r>
              <w:t>slås udvidet med. L</w:t>
            </w:r>
            <w:r w:rsidR="008301E1">
              <w:t xml:space="preserve">ovforslaget ændrer </w:t>
            </w:r>
            <w:r>
              <w:t xml:space="preserve">heller ikke </w:t>
            </w:r>
            <w:r w:rsidR="008301E1">
              <w:t>på</w:t>
            </w:r>
            <w:r w:rsidR="008301E1" w:rsidRPr="00D804A6">
              <w:t xml:space="preserve">, hvornår der </w:t>
            </w:r>
            <w:r w:rsidR="008301E1">
              <w:t xml:space="preserve">efter gældende regler </w:t>
            </w:r>
            <w:r w:rsidR="008301E1" w:rsidRPr="00D804A6">
              <w:t>er tale om aktivitet med transport af passag</w:t>
            </w:r>
            <w:r w:rsidR="008301E1" w:rsidRPr="00D804A6">
              <w:t>e</w:t>
            </w:r>
            <w:r w:rsidR="008301E1" w:rsidRPr="00D804A6">
              <w:t>rer el</w:t>
            </w:r>
            <w:r>
              <w:t>ler gods</w:t>
            </w:r>
            <w:r w:rsidR="008301E1" w:rsidRPr="00D804A6">
              <w:t xml:space="preserve"> mellem forskellige destinationer. </w:t>
            </w:r>
            <w:r w:rsidR="008301E1">
              <w:t>Det indgår derfor ikke i lovforslaget at foretage en præcisering af destinationsbegr</w:t>
            </w:r>
            <w:r w:rsidR="008301E1">
              <w:t>e</w:t>
            </w:r>
            <w:r w:rsidR="008301E1">
              <w:t>bet.</w:t>
            </w:r>
            <w:r w:rsidR="008301E1">
              <w:rPr>
                <w:szCs w:val="22"/>
              </w:rPr>
              <w:t xml:space="preserve"> </w:t>
            </w:r>
          </w:p>
          <w:p w:rsidR="00B83450" w:rsidRDefault="00B83450" w:rsidP="000C020E">
            <w:pPr>
              <w:pStyle w:val="Tabel-BrdtekstmedafstandptekstGaramond"/>
              <w:rPr>
                <w:szCs w:val="22"/>
              </w:rPr>
            </w:pPr>
          </w:p>
          <w:p w:rsidR="00212D82" w:rsidRDefault="00212D82" w:rsidP="000C020E">
            <w:pPr>
              <w:pStyle w:val="Tabel-BrdtekstmedafstandptekstGaramond"/>
              <w:rPr>
                <w:szCs w:val="22"/>
              </w:rPr>
            </w:pPr>
          </w:p>
          <w:p w:rsidR="00212D82" w:rsidRDefault="00212D82" w:rsidP="000C020E">
            <w:pPr>
              <w:pStyle w:val="Tabel-BrdtekstmedafstandptekstGaramond"/>
              <w:rPr>
                <w:szCs w:val="22"/>
              </w:rPr>
            </w:pPr>
          </w:p>
          <w:p w:rsidR="009343E5" w:rsidRDefault="009343E5" w:rsidP="009343E5">
            <w:pPr>
              <w:pStyle w:val="Tabel-BrdtekstmedafstandptekstGaramond"/>
            </w:pPr>
            <w:r>
              <w:t xml:space="preserve">Som det er beskrevet ovenfor, </w:t>
            </w:r>
            <w:r>
              <w:lastRenderedPageBreak/>
              <w:t xml:space="preserve">udmønter lovforslaget den del af </w:t>
            </w:r>
            <w:r w:rsidRPr="002E31D0">
              <w:rPr>
                <w:i/>
              </w:rPr>
              <w:t>Aftale om en vækstpakke</w:t>
            </w:r>
            <w:r>
              <w:t>, der vedr</w:t>
            </w:r>
            <w:r>
              <w:t>ø</w:t>
            </w:r>
            <w:r>
              <w:t>rer en styrkelse af rammevilkårene for Det Blå Danmark. Det indgår ikke i denne aftale, at der skal ske en udvidelse af tonnageskatteor</w:t>
            </w:r>
            <w:r>
              <w:t>d</w:t>
            </w:r>
            <w:r>
              <w:t>ningen med mobile borerigge og boreskibe, og en sådan udvidelse indgår derfor heller ikke i lo</w:t>
            </w:r>
            <w:r>
              <w:t>v</w:t>
            </w:r>
            <w:r>
              <w:t xml:space="preserve">forslaget. </w:t>
            </w: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9343E5" w:rsidRDefault="009343E5" w:rsidP="000C020E">
            <w:pPr>
              <w:pStyle w:val="Tabel-BrdtekstmedafstandptekstGaramond"/>
              <w:rPr>
                <w:szCs w:val="22"/>
              </w:rPr>
            </w:pPr>
          </w:p>
          <w:p w:rsidR="000C020E" w:rsidRDefault="000C020E"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9343E5" w:rsidRDefault="009343E5" w:rsidP="000C020E">
            <w:pPr>
              <w:pStyle w:val="Tabel-BrdtekstmedafstandptekstGaramond"/>
            </w:pPr>
          </w:p>
          <w:p w:rsidR="00D82525" w:rsidRDefault="00D82525" w:rsidP="000C020E">
            <w:pPr>
              <w:pStyle w:val="Tabel-BrdtekstmedafstandptekstGaramond"/>
            </w:pPr>
          </w:p>
          <w:p w:rsidR="000C020E" w:rsidRDefault="00C570E1" w:rsidP="000C020E">
            <w:pPr>
              <w:pStyle w:val="Tabel-BrdtekstmedafstandptekstGaramond"/>
            </w:pPr>
            <w:r>
              <w:lastRenderedPageBreak/>
              <w:t>Der henvises til kommentaren til Bech-Bruun.</w:t>
            </w: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C570E1" w:rsidRDefault="00C570E1" w:rsidP="000C020E">
            <w:pPr>
              <w:pStyle w:val="Tabel-BrdtekstmedafstandptekstGaramond"/>
            </w:pPr>
          </w:p>
          <w:p w:rsidR="003452CE" w:rsidRPr="00FA2998" w:rsidRDefault="000C020E" w:rsidP="000C020E">
            <w:pPr>
              <w:pStyle w:val="Tabel-BrdtekstmedafstandptekstGaramond"/>
            </w:pPr>
            <w:r>
              <w:t>Det bemærkes, at ansatte besæ</w:t>
            </w:r>
            <w:r>
              <w:t>t</w:t>
            </w:r>
            <w:r>
              <w:t>ningsmedlemmer ikke har indfl</w:t>
            </w:r>
            <w:r>
              <w:t>y</w:t>
            </w:r>
            <w:r>
              <w:t>delse på, om skibet i en given p</w:t>
            </w:r>
            <w:r>
              <w:t>e</w:t>
            </w:r>
            <w:r>
              <w:t>riode udfører den ene eller den anden opgave - det har alene a</w:t>
            </w:r>
            <w:r>
              <w:t>r</w:t>
            </w:r>
            <w:r>
              <w:t>bejdsgiveren. Det følger derfor af sømandsbeskatningsloven, at det er arbejdsgiveren, der må bære konsekvenserne, hvis der er udb</w:t>
            </w:r>
            <w:r>
              <w:t>e</w:t>
            </w:r>
            <w:r>
              <w:t>talt skattefri nettoløn efter s</w:t>
            </w:r>
            <w:r>
              <w:t>ø</w:t>
            </w:r>
            <w:r>
              <w:t>mandsbeskatningslovens regler i en situation, hvor grundlaget he</w:t>
            </w:r>
            <w:r>
              <w:t>r</w:t>
            </w:r>
            <w:r>
              <w:t xml:space="preserve">for viser sig ikke at være til stede. I en sådan situation er det således arbejdsgiveren, der hæfter for den </w:t>
            </w:r>
            <w:r w:rsidR="00895918">
              <w:lastRenderedPageBreak/>
              <w:t>A-skat</w:t>
            </w:r>
            <w:r>
              <w:t xml:space="preserve"> og de bidrag efter lov om arbejdsmarkedsbidrag og ATP-loven, der skulle have været betalt - ikke den enkelte sømand.</w:t>
            </w:r>
          </w:p>
        </w:tc>
      </w:tr>
      <w:tr w:rsidR="00815F28" w:rsidRPr="00B5346F" w:rsidTr="004D2BD7">
        <w:tc>
          <w:tcPr>
            <w:tcW w:w="2310" w:type="dxa"/>
            <w:tcBorders>
              <w:bottom w:val="single" w:sz="4" w:space="0" w:color="D1C5C3" w:themeColor="accent3"/>
            </w:tcBorders>
            <w:shd w:val="clear" w:color="auto" w:fill="FBF9F9"/>
          </w:tcPr>
          <w:p w:rsidR="00815F28" w:rsidRPr="00600E3E" w:rsidRDefault="00857606" w:rsidP="00712257">
            <w:pPr>
              <w:pStyle w:val="Tabel-BrdtekstmedafstandptekstGaramond"/>
              <w:rPr>
                <w:i/>
              </w:rPr>
            </w:pPr>
            <w:r>
              <w:rPr>
                <w:i/>
              </w:rPr>
              <w:lastRenderedPageBreak/>
              <w:t xml:space="preserve">Dansk Byggeri </w:t>
            </w:r>
          </w:p>
        </w:tc>
        <w:tc>
          <w:tcPr>
            <w:tcW w:w="213" w:type="dxa"/>
            <w:shd w:val="clear" w:color="auto" w:fill="FFFFFF" w:themeFill="background1"/>
          </w:tcPr>
          <w:p w:rsidR="00815F28" w:rsidRPr="00B5346F" w:rsidRDefault="00815F28" w:rsidP="00712257"/>
        </w:tc>
        <w:tc>
          <w:tcPr>
            <w:tcW w:w="3443" w:type="dxa"/>
            <w:tcBorders>
              <w:bottom w:val="single" w:sz="4" w:space="0" w:color="D1C5C3" w:themeColor="accent3"/>
            </w:tcBorders>
            <w:shd w:val="clear" w:color="auto" w:fill="FBF9F9"/>
          </w:tcPr>
          <w:p w:rsidR="00815F28" w:rsidRPr="00B5346F" w:rsidRDefault="00857606" w:rsidP="00712257">
            <w:pPr>
              <w:pStyle w:val="Tabel-BrdtekstmedafstandptekstGaramond"/>
            </w:pPr>
            <w:r>
              <w:t>Har ingen bemærkninger til lo</w:t>
            </w:r>
            <w:r>
              <w:t>v</w:t>
            </w:r>
            <w:r>
              <w:t xml:space="preserve">forslaget. </w:t>
            </w:r>
          </w:p>
        </w:tc>
        <w:tc>
          <w:tcPr>
            <w:tcW w:w="230" w:type="dxa"/>
            <w:shd w:val="clear" w:color="auto" w:fill="FFFFFF" w:themeFill="background1"/>
          </w:tcPr>
          <w:p w:rsidR="00815F28" w:rsidRPr="00B5346F" w:rsidRDefault="00815F28" w:rsidP="00712257"/>
        </w:tc>
        <w:tc>
          <w:tcPr>
            <w:tcW w:w="3443" w:type="dxa"/>
            <w:tcBorders>
              <w:bottom w:val="single" w:sz="4" w:space="0" w:color="14143C" w:themeColor="accent1"/>
            </w:tcBorders>
            <w:shd w:val="clear" w:color="auto" w:fill="D2CED8"/>
          </w:tcPr>
          <w:p w:rsidR="00815F28" w:rsidRPr="00B5346F" w:rsidRDefault="00815F28" w:rsidP="00712257">
            <w:pPr>
              <w:pStyle w:val="Tabel-BrdtekstmedafstandptekstGaramond"/>
            </w:pPr>
          </w:p>
        </w:tc>
      </w:tr>
      <w:tr w:rsidR="00DB26CE" w:rsidRPr="00B5346F" w:rsidTr="004D2BD7">
        <w:tc>
          <w:tcPr>
            <w:tcW w:w="2310" w:type="dxa"/>
            <w:tcBorders>
              <w:bottom w:val="single" w:sz="4" w:space="0" w:color="D1C5C3" w:themeColor="accent3"/>
            </w:tcBorders>
            <w:shd w:val="clear" w:color="auto" w:fill="FBF9F9"/>
          </w:tcPr>
          <w:p w:rsidR="00DB26CE" w:rsidRDefault="00DB26CE" w:rsidP="00712257">
            <w:pPr>
              <w:pStyle w:val="Tabel-BrdtekstmedafstandptekstGaramond"/>
              <w:rPr>
                <w:i/>
              </w:rPr>
            </w:pPr>
            <w:r>
              <w:rPr>
                <w:i/>
              </w:rPr>
              <w:t>Dansk Erhverv</w:t>
            </w:r>
          </w:p>
        </w:tc>
        <w:tc>
          <w:tcPr>
            <w:tcW w:w="213" w:type="dxa"/>
            <w:shd w:val="clear" w:color="auto" w:fill="FFFFFF" w:themeFill="background1"/>
          </w:tcPr>
          <w:p w:rsidR="00DB26CE" w:rsidRPr="00B5346F" w:rsidRDefault="00DB26CE" w:rsidP="00712257"/>
        </w:tc>
        <w:tc>
          <w:tcPr>
            <w:tcW w:w="3443" w:type="dxa"/>
            <w:tcBorders>
              <w:bottom w:val="single" w:sz="4" w:space="0" w:color="D1C5C3" w:themeColor="accent3"/>
            </w:tcBorders>
            <w:shd w:val="clear" w:color="auto" w:fill="FBF9F9"/>
          </w:tcPr>
          <w:p w:rsidR="00DB26CE" w:rsidRDefault="00291249" w:rsidP="00712257">
            <w:pPr>
              <w:pStyle w:val="Tabel-BrdtekstmedafstandptekstGaramond"/>
            </w:pPr>
            <w:r>
              <w:t>Har ingen bemærkninger til lo</w:t>
            </w:r>
            <w:r>
              <w:t>v</w:t>
            </w:r>
            <w:r>
              <w:t>forslaget.</w:t>
            </w:r>
          </w:p>
        </w:tc>
        <w:tc>
          <w:tcPr>
            <w:tcW w:w="230" w:type="dxa"/>
            <w:shd w:val="clear" w:color="auto" w:fill="FFFFFF" w:themeFill="background1"/>
          </w:tcPr>
          <w:p w:rsidR="00DB26CE" w:rsidRPr="00B5346F" w:rsidRDefault="00DB26CE" w:rsidP="00712257"/>
        </w:tc>
        <w:tc>
          <w:tcPr>
            <w:tcW w:w="3443" w:type="dxa"/>
            <w:tcBorders>
              <w:bottom w:val="single" w:sz="4" w:space="0" w:color="14143C" w:themeColor="accent1"/>
            </w:tcBorders>
            <w:shd w:val="clear" w:color="auto" w:fill="D2CED8"/>
          </w:tcPr>
          <w:p w:rsidR="00DB26CE" w:rsidRPr="00B5346F" w:rsidRDefault="00DB26CE" w:rsidP="00712257">
            <w:pPr>
              <w:pStyle w:val="Tabel-BrdtekstmedafstandptekstGaramond"/>
            </w:pPr>
          </w:p>
        </w:tc>
      </w:tr>
      <w:tr w:rsidR="00263904" w:rsidRPr="00B5346F" w:rsidTr="004D2BD7">
        <w:tc>
          <w:tcPr>
            <w:tcW w:w="2310" w:type="dxa"/>
            <w:tcBorders>
              <w:bottom w:val="single" w:sz="4" w:space="0" w:color="D1C5C3" w:themeColor="accent3"/>
            </w:tcBorders>
            <w:shd w:val="clear" w:color="auto" w:fill="FBF9F9"/>
          </w:tcPr>
          <w:p w:rsidR="00263904" w:rsidRDefault="00263904" w:rsidP="00712257">
            <w:pPr>
              <w:pStyle w:val="Tabel-BrdtekstmedafstandptekstGaramond"/>
              <w:rPr>
                <w:i/>
              </w:rPr>
            </w:pPr>
            <w:r>
              <w:rPr>
                <w:i/>
              </w:rPr>
              <w:t>Dansk Metal</w:t>
            </w:r>
          </w:p>
        </w:tc>
        <w:tc>
          <w:tcPr>
            <w:tcW w:w="213" w:type="dxa"/>
            <w:shd w:val="clear" w:color="auto" w:fill="FFFFFF" w:themeFill="background1"/>
          </w:tcPr>
          <w:p w:rsidR="00263904" w:rsidRPr="00B5346F" w:rsidRDefault="00263904" w:rsidP="00712257"/>
        </w:tc>
        <w:tc>
          <w:tcPr>
            <w:tcW w:w="3443" w:type="dxa"/>
            <w:tcBorders>
              <w:bottom w:val="single" w:sz="4" w:space="0" w:color="D1C5C3" w:themeColor="accent3"/>
            </w:tcBorders>
            <w:shd w:val="clear" w:color="auto" w:fill="FBF9F9"/>
          </w:tcPr>
          <w:p w:rsidR="00263904" w:rsidRDefault="004448D9" w:rsidP="00712257">
            <w:pPr>
              <w:pStyle w:val="Tabel-BrdtekstmedafstandptekstGaramond"/>
            </w:pPr>
            <w:r>
              <w:t>Indlednings</w:t>
            </w:r>
            <w:r w:rsidR="0009417B">
              <w:t>vist bakker Dansk M</w:t>
            </w:r>
            <w:r w:rsidR="0009417B">
              <w:t>e</w:t>
            </w:r>
            <w:r w:rsidR="0009417B">
              <w:t>tal op om lovforslaget</w:t>
            </w:r>
            <w:r w:rsidR="00DC24EA">
              <w:t>,</w:t>
            </w:r>
            <w:r w:rsidR="00253F4D">
              <w:t xml:space="preserve"> som </w:t>
            </w:r>
            <w:r w:rsidR="00943F8B">
              <w:t xml:space="preserve">efter </w:t>
            </w:r>
            <w:r w:rsidR="00DC24EA">
              <w:t>forbundets</w:t>
            </w:r>
            <w:r w:rsidR="00943F8B">
              <w:t xml:space="preserve"> overbevis</w:t>
            </w:r>
            <w:r w:rsidR="00DC24EA">
              <w:t>ning</w:t>
            </w:r>
            <w:r w:rsidR="00943F8B">
              <w:t xml:space="preserve"> vil </w:t>
            </w:r>
            <w:r w:rsidR="00212864">
              <w:t>ti</w:t>
            </w:r>
            <w:r w:rsidR="00212864">
              <w:t>l</w:t>
            </w:r>
            <w:r w:rsidR="00212864">
              <w:t>trække nye fartøjer til Danmark og sikre investeringer og arbejdspla</w:t>
            </w:r>
            <w:r w:rsidR="00212864">
              <w:t>d</w:t>
            </w:r>
            <w:r w:rsidR="00212864">
              <w:t xml:space="preserve">ser. </w:t>
            </w:r>
          </w:p>
          <w:p w:rsidR="00540A51" w:rsidRDefault="00540A51" w:rsidP="00712257">
            <w:pPr>
              <w:pStyle w:val="Tabel-BrdtekstmedafstandptekstGaramond"/>
            </w:pPr>
          </w:p>
          <w:p w:rsidR="00540A51" w:rsidRDefault="00540A51" w:rsidP="00712257">
            <w:pPr>
              <w:pStyle w:val="Tabel-BrdtekstmedafstandptekstGaramond"/>
              <w:rPr>
                <w:rFonts w:eastAsia="Calibri"/>
                <w:szCs w:val="22"/>
              </w:rPr>
            </w:pPr>
            <w:r>
              <w:rPr>
                <w:rFonts w:eastAsia="Calibri"/>
                <w:szCs w:val="22"/>
              </w:rPr>
              <w:t>Dansk Meta</w:t>
            </w:r>
            <w:r w:rsidR="007E3EE0">
              <w:rPr>
                <w:rFonts w:eastAsia="Calibri"/>
                <w:szCs w:val="22"/>
              </w:rPr>
              <w:t>l</w:t>
            </w:r>
            <w:r w:rsidR="008615A8">
              <w:rPr>
                <w:rFonts w:eastAsia="Calibri"/>
                <w:szCs w:val="22"/>
              </w:rPr>
              <w:t xml:space="preserve"> foreslår</w:t>
            </w:r>
            <w:r w:rsidRPr="00D05DE9">
              <w:rPr>
                <w:rFonts w:eastAsia="Calibri"/>
                <w:szCs w:val="22"/>
              </w:rPr>
              <w:t>, at tonnag</w:t>
            </w:r>
            <w:r w:rsidRPr="00D05DE9">
              <w:rPr>
                <w:rFonts w:eastAsia="Calibri"/>
                <w:szCs w:val="22"/>
              </w:rPr>
              <w:t>e</w:t>
            </w:r>
            <w:r w:rsidRPr="00D05DE9">
              <w:rPr>
                <w:rFonts w:eastAsia="Calibri"/>
                <w:szCs w:val="22"/>
              </w:rPr>
              <w:t xml:space="preserve">skatteordningen </w:t>
            </w:r>
            <w:r w:rsidR="008615A8" w:rsidRPr="00D05DE9">
              <w:rPr>
                <w:rFonts w:eastAsia="Calibri"/>
                <w:szCs w:val="22"/>
              </w:rPr>
              <w:t>også udvides</w:t>
            </w:r>
            <w:r w:rsidR="008615A8">
              <w:rPr>
                <w:rFonts w:eastAsia="Calibri"/>
                <w:szCs w:val="22"/>
              </w:rPr>
              <w:t xml:space="preserve"> </w:t>
            </w:r>
            <w:r w:rsidRPr="00D05DE9">
              <w:rPr>
                <w:rFonts w:eastAsia="Calibri"/>
                <w:szCs w:val="22"/>
              </w:rPr>
              <w:t>med mobile borerig</w:t>
            </w:r>
            <w:r w:rsidR="007E3EE0">
              <w:rPr>
                <w:rFonts w:eastAsia="Calibri"/>
                <w:szCs w:val="22"/>
              </w:rPr>
              <w:t>ge</w:t>
            </w:r>
            <w:r w:rsidR="00DC24EA">
              <w:rPr>
                <w:rFonts w:eastAsia="Calibri"/>
                <w:szCs w:val="22"/>
              </w:rPr>
              <w:t xml:space="preserve"> og </w:t>
            </w:r>
            <w:r w:rsidR="007E3EE0">
              <w:rPr>
                <w:rFonts w:eastAsia="Calibri"/>
                <w:szCs w:val="22"/>
              </w:rPr>
              <w:t>boreskibe</w:t>
            </w:r>
            <w:r w:rsidR="00DC24EA">
              <w:rPr>
                <w:rFonts w:eastAsia="Calibri"/>
                <w:szCs w:val="22"/>
              </w:rPr>
              <w:t xml:space="preserve">. </w:t>
            </w:r>
            <w:r w:rsidR="008615A8">
              <w:rPr>
                <w:rFonts w:eastAsia="Calibri"/>
                <w:szCs w:val="22"/>
              </w:rPr>
              <w:t xml:space="preserve">Forbundet vurderer i </w:t>
            </w:r>
            <w:r w:rsidR="00DC24EA">
              <w:rPr>
                <w:rFonts w:eastAsia="Calibri"/>
                <w:szCs w:val="22"/>
              </w:rPr>
              <w:t>den forbi</w:t>
            </w:r>
            <w:r w:rsidR="00DC24EA">
              <w:rPr>
                <w:rFonts w:eastAsia="Calibri"/>
                <w:szCs w:val="22"/>
              </w:rPr>
              <w:t>n</w:t>
            </w:r>
            <w:r w:rsidR="00DC24EA">
              <w:rPr>
                <w:rFonts w:eastAsia="Calibri"/>
                <w:szCs w:val="22"/>
              </w:rPr>
              <w:t>delse</w:t>
            </w:r>
            <w:r w:rsidR="007E3EE0">
              <w:rPr>
                <w:rFonts w:eastAsia="Calibri"/>
                <w:szCs w:val="22"/>
              </w:rPr>
              <w:t xml:space="preserve">, at en sådan udvidelse </w:t>
            </w:r>
            <w:r w:rsidR="0024678B">
              <w:rPr>
                <w:rFonts w:eastAsia="Calibri"/>
                <w:szCs w:val="22"/>
              </w:rPr>
              <w:t>vil medføre et ikke nævneværdigt mindreprovenu</w:t>
            </w:r>
            <w:r w:rsidR="008615A8">
              <w:rPr>
                <w:rFonts w:eastAsia="Calibri"/>
                <w:szCs w:val="22"/>
              </w:rPr>
              <w:t xml:space="preserve">. Det skyldes, at borerigge og boreskibe typisk er skattemæssigt hjemmehørende i de lande, der kan tilbyde den mest fordelagtige beskatning, og </w:t>
            </w:r>
            <w:r w:rsidR="00932FDD">
              <w:rPr>
                <w:rFonts w:eastAsia="Calibri"/>
                <w:szCs w:val="22"/>
              </w:rPr>
              <w:t>at disse fartøje</w:t>
            </w:r>
            <w:r w:rsidR="00702321">
              <w:rPr>
                <w:rFonts w:eastAsia="Calibri"/>
                <w:szCs w:val="22"/>
              </w:rPr>
              <w:t>rs akti</w:t>
            </w:r>
            <w:r w:rsidR="00AC1765">
              <w:rPr>
                <w:rFonts w:eastAsia="Calibri"/>
                <w:szCs w:val="22"/>
              </w:rPr>
              <w:t>viteter alternativt fly</w:t>
            </w:r>
            <w:r w:rsidR="00AC1765">
              <w:rPr>
                <w:rFonts w:eastAsia="Calibri"/>
                <w:szCs w:val="22"/>
              </w:rPr>
              <w:t>t</w:t>
            </w:r>
            <w:r w:rsidR="00AC1765">
              <w:rPr>
                <w:rFonts w:eastAsia="Calibri"/>
                <w:szCs w:val="22"/>
              </w:rPr>
              <w:t>tes fra Danmark</w:t>
            </w:r>
            <w:r w:rsidR="008615A8">
              <w:rPr>
                <w:rFonts w:eastAsia="Calibri"/>
                <w:szCs w:val="22"/>
              </w:rPr>
              <w:t xml:space="preserve"> og til f.eks. Si</w:t>
            </w:r>
            <w:r w:rsidR="008615A8">
              <w:rPr>
                <w:rFonts w:eastAsia="Calibri"/>
                <w:szCs w:val="22"/>
              </w:rPr>
              <w:t>n</w:t>
            </w:r>
            <w:r w:rsidR="008615A8">
              <w:rPr>
                <w:rFonts w:eastAsia="Calibri"/>
                <w:szCs w:val="22"/>
              </w:rPr>
              <w:t>gapore</w:t>
            </w:r>
            <w:r w:rsidR="00AC1765">
              <w:rPr>
                <w:rFonts w:eastAsia="Calibri"/>
                <w:szCs w:val="22"/>
              </w:rPr>
              <w:t>.</w:t>
            </w:r>
            <w:r w:rsidR="006E2B8D">
              <w:rPr>
                <w:rFonts w:eastAsia="Calibri"/>
                <w:szCs w:val="22"/>
              </w:rPr>
              <w:t xml:space="preserve"> </w:t>
            </w:r>
            <w:r w:rsidR="00FB5A8D">
              <w:rPr>
                <w:rFonts w:eastAsia="Calibri"/>
                <w:szCs w:val="22"/>
              </w:rPr>
              <w:t xml:space="preserve">Konkret anbefales det at lade borerigge og </w:t>
            </w:r>
            <w:r w:rsidR="00DC24EA">
              <w:rPr>
                <w:rFonts w:eastAsia="Calibri"/>
                <w:szCs w:val="22"/>
              </w:rPr>
              <w:t>bore</w:t>
            </w:r>
            <w:r w:rsidR="00FB5A8D">
              <w:rPr>
                <w:rFonts w:eastAsia="Calibri"/>
                <w:szCs w:val="22"/>
              </w:rPr>
              <w:t xml:space="preserve">skibe </w:t>
            </w:r>
            <w:r w:rsidR="001912E6">
              <w:rPr>
                <w:rFonts w:eastAsia="Calibri"/>
                <w:szCs w:val="22"/>
              </w:rPr>
              <w:t>omfa</w:t>
            </w:r>
            <w:r w:rsidR="001912E6">
              <w:rPr>
                <w:rFonts w:eastAsia="Calibri"/>
                <w:szCs w:val="22"/>
              </w:rPr>
              <w:t>t</w:t>
            </w:r>
            <w:r w:rsidR="001912E6">
              <w:rPr>
                <w:rFonts w:eastAsia="Calibri"/>
                <w:szCs w:val="22"/>
              </w:rPr>
              <w:t>tes</w:t>
            </w:r>
            <w:r w:rsidR="008615A8">
              <w:rPr>
                <w:rFonts w:eastAsia="Calibri"/>
                <w:szCs w:val="22"/>
              </w:rPr>
              <w:t xml:space="preserve"> af tonnageskatteloven</w:t>
            </w:r>
            <w:r w:rsidR="001912E6">
              <w:rPr>
                <w:rFonts w:eastAsia="Calibri"/>
                <w:szCs w:val="22"/>
              </w:rPr>
              <w:t xml:space="preserve"> med sa</w:t>
            </w:r>
            <w:r w:rsidR="001912E6">
              <w:rPr>
                <w:rFonts w:eastAsia="Calibri"/>
                <w:szCs w:val="22"/>
              </w:rPr>
              <w:t>t</w:t>
            </w:r>
            <w:r w:rsidR="001912E6">
              <w:rPr>
                <w:rFonts w:eastAsia="Calibri"/>
                <w:szCs w:val="22"/>
              </w:rPr>
              <w:t xml:space="preserve">ser, der er 3-4 gange højere end for handelsskibe. </w:t>
            </w:r>
          </w:p>
          <w:p w:rsidR="00FE7518" w:rsidRDefault="00FE7518" w:rsidP="00712257">
            <w:pPr>
              <w:pStyle w:val="Tabel-BrdtekstmedafstandptekstGaramond"/>
            </w:pPr>
          </w:p>
          <w:p w:rsidR="00856E61" w:rsidRDefault="00856E61" w:rsidP="00856E61">
            <w:pPr>
              <w:pStyle w:val="Tabel-BrdtekstmedafstandptekstGaramond"/>
            </w:pPr>
            <w:r>
              <w:t xml:space="preserve">Dansk Metal påpeger, at der er behov for, at specialskibe også omfattes af DIS-ordningen for at fastholde kompetencerne inden </w:t>
            </w:r>
            <w:r>
              <w:lastRenderedPageBreak/>
              <w:t>for operation og drift af skibe rel</w:t>
            </w:r>
            <w:r>
              <w:t>a</w:t>
            </w:r>
            <w:r>
              <w:t xml:space="preserve">teret til offshore-sektoren. </w:t>
            </w:r>
          </w:p>
          <w:p w:rsidR="00856E61" w:rsidRDefault="00856E61" w:rsidP="00856E61">
            <w:pPr>
              <w:pStyle w:val="Tabel-BrdtekstmedafstandptekstGaramond"/>
            </w:pPr>
          </w:p>
          <w:p w:rsidR="00540A51" w:rsidRDefault="00856E61" w:rsidP="00D73635">
            <w:pPr>
              <w:pStyle w:val="Tabel-BrdtekstmedafstandptekstGaramond"/>
            </w:pPr>
            <w:r>
              <w:t>For Dansk Metal er det dog afg</w:t>
            </w:r>
            <w:r>
              <w:t>ø</w:t>
            </w:r>
            <w:r>
              <w:t>rende, at en sådan udvidelse im</w:t>
            </w:r>
            <w:r>
              <w:t>ø</w:t>
            </w:r>
            <w:r>
              <w:t>dekommer udfordringerne i relat</w:t>
            </w:r>
            <w:r>
              <w:t>i</w:t>
            </w:r>
            <w:r>
              <w:t xml:space="preserve">on til forhandlingskompetence ved beskæftigelse af søfarende, der </w:t>
            </w:r>
            <w:r w:rsidR="004505E8">
              <w:t>e</w:t>
            </w:r>
            <w:r w:rsidR="004505E8">
              <w:t>f</w:t>
            </w:r>
            <w:r w:rsidR="004505E8">
              <w:t>ter</w:t>
            </w:r>
            <w:r>
              <w:t xml:space="preserve"> § 10, stk. 2 og 3</w:t>
            </w:r>
            <w:r w:rsidR="00D73635">
              <w:t>,</w:t>
            </w:r>
            <w:r>
              <w:t xml:space="preserve"> i lov om Dansk Internationalt Skibsregister, ikke automatisk omfattes af ove</w:t>
            </w:r>
            <w:r>
              <w:t>r</w:t>
            </w:r>
            <w:r>
              <w:t xml:space="preserve">enskomster indgået med de danske faglige organisationer. </w:t>
            </w:r>
          </w:p>
        </w:tc>
        <w:tc>
          <w:tcPr>
            <w:tcW w:w="230" w:type="dxa"/>
            <w:shd w:val="clear" w:color="auto" w:fill="FFFFFF" w:themeFill="background1"/>
          </w:tcPr>
          <w:p w:rsidR="00263904" w:rsidRPr="00B5346F" w:rsidRDefault="00263904" w:rsidP="00712257"/>
        </w:tc>
        <w:tc>
          <w:tcPr>
            <w:tcW w:w="3443" w:type="dxa"/>
            <w:tcBorders>
              <w:bottom w:val="single" w:sz="4" w:space="0" w:color="14143C" w:themeColor="accent1"/>
            </w:tcBorders>
            <w:shd w:val="clear" w:color="auto" w:fill="D2CED8"/>
          </w:tcPr>
          <w:p w:rsidR="00263904" w:rsidRDefault="00263904"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DC24EA" w:rsidRDefault="00DC24EA" w:rsidP="006324AB">
            <w:pPr>
              <w:pStyle w:val="Tabel-BrdtekstmedafstandptekstGaramond"/>
            </w:pPr>
          </w:p>
          <w:p w:rsidR="006324AB" w:rsidRDefault="006324AB" w:rsidP="006324AB">
            <w:pPr>
              <w:pStyle w:val="Tabel-BrdtekstmedafstandptekstGaramond"/>
            </w:pPr>
            <w:r>
              <w:t xml:space="preserve">Der henvises til kommentaren til Danmarks Rederiforening. </w:t>
            </w: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2339D6" w:rsidRDefault="002339D6" w:rsidP="00712257">
            <w:pPr>
              <w:pStyle w:val="Tabel-BrdtekstmedafstandptekstGaramond"/>
            </w:pPr>
          </w:p>
          <w:p w:rsidR="008615A8" w:rsidRDefault="008615A8" w:rsidP="002D58EA">
            <w:pPr>
              <w:pStyle w:val="Tabel-BrdtekstmedafstandptekstGaramond"/>
            </w:pPr>
          </w:p>
          <w:p w:rsidR="008615A8" w:rsidRDefault="008615A8" w:rsidP="002D58EA">
            <w:pPr>
              <w:pStyle w:val="Tabel-BrdtekstmedafstandptekstGaramond"/>
            </w:pPr>
          </w:p>
          <w:p w:rsidR="008615A8" w:rsidRDefault="008615A8" w:rsidP="002D58EA">
            <w:pPr>
              <w:pStyle w:val="Tabel-BrdtekstmedafstandptekstGaramond"/>
            </w:pPr>
          </w:p>
          <w:p w:rsidR="008615A8" w:rsidRDefault="008615A8" w:rsidP="002D58EA">
            <w:pPr>
              <w:pStyle w:val="Tabel-BrdtekstmedafstandptekstGaramond"/>
            </w:pPr>
          </w:p>
          <w:p w:rsidR="008615A8" w:rsidRDefault="008615A8" w:rsidP="002D58EA">
            <w:pPr>
              <w:pStyle w:val="Tabel-BrdtekstmedafstandptekstGaramond"/>
            </w:pPr>
          </w:p>
          <w:p w:rsidR="008615A8" w:rsidRDefault="008615A8" w:rsidP="002D58EA">
            <w:pPr>
              <w:pStyle w:val="Tabel-BrdtekstmedafstandptekstGaramond"/>
            </w:pPr>
          </w:p>
          <w:p w:rsidR="002339D6" w:rsidRDefault="002339D6" w:rsidP="002D58EA">
            <w:pPr>
              <w:pStyle w:val="Tabel-BrdtekstmedafstandptekstGaramond"/>
            </w:pPr>
            <w:r>
              <w:t>Der henvises til kommentaren til Danmarks Rederiforeni</w:t>
            </w:r>
            <w:r w:rsidR="002D58EA">
              <w:t>n</w:t>
            </w:r>
            <w:r>
              <w:t xml:space="preserve">g. </w:t>
            </w:r>
          </w:p>
          <w:p w:rsidR="00856E61" w:rsidRDefault="00856E61" w:rsidP="002D58EA">
            <w:pPr>
              <w:pStyle w:val="Tabel-BrdtekstmedafstandptekstGaramond"/>
            </w:pPr>
          </w:p>
          <w:p w:rsidR="00856E61" w:rsidRDefault="00856E61" w:rsidP="002D58EA">
            <w:pPr>
              <w:pStyle w:val="Tabel-BrdtekstmedafstandptekstGaramond"/>
            </w:pPr>
          </w:p>
          <w:p w:rsidR="00856E61" w:rsidRDefault="00856E61" w:rsidP="002D58EA">
            <w:pPr>
              <w:pStyle w:val="Tabel-BrdtekstmedafstandptekstGaramond"/>
            </w:pPr>
          </w:p>
          <w:p w:rsidR="00856E61" w:rsidRDefault="00856E61" w:rsidP="002D58EA">
            <w:pPr>
              <w:pStyle w:val="Tabel-BrdtekstmedafstandptekstGaramond"/>
            </w:pPr>
          </w:p>
          <w:p w:rsidR="00856E61" w:rsidRDefault="00856E61" w:rsidP="002D58EA">
            <w:pPr>
              <w:pStyle w:val="Tabel-BrdtekstmedafstandptekstGaramond"/>
            </w:pPr>
          </w:p>
          <w:p w:rsidR="00856E61" w:rsidRPr="00B5346F" w:rsidRDefault="00D82525" w:rsidP="002D58EA">
            <w:pPr>
              <w:pStyle w:val="Tabel-BrdtekstmedafstandptekstGaramond"/>
            </w:pPr>
            <w:r>
              <w:t>Spørgsmålet om danske organis</w:t>
            </w:r>
            <w:r>
              <w:t>a</w:t>
            </w:r>
            <w:r>
              <w:t>tioners forhandlingsret falder uden for lovforslagets rammer og giver ikke anledning til en justering af lovforslaget.</w:t>
            </w:r>
          </w:p>
        </w:tc>
      </w:tr>
      <w:tr w:rsidR="00DC24EA" w:rsidRPr="00B5346F" w:rsidTr="004D2BD7">
        <w:tc>
          <w:tcPr>
            <w:tcW w:w="2310" w:type="dxa"/>
            <w:tcBorders>
              <w:bottom w:val="single" w:sz="4" w:space="0" w:color="D1C5C3" w:themeColor="accent3"/>
            </w:tcBorders>
            <w:shd w:val="clear" w:color="auto" w:fill="FBF9F9"/>
          </w:tcPr>
          <w:p w:rsidR="00DC24EA" w:rsidRDefault="00DC24EA" w:rsidP="00712257">
            <w:pPr>
              <w:pStyle w:val="Tabel-BrdtekstmedafstandptekstGaramond"/>
              <w:rPr>
                <w:i/>
              </w:rPr>
            </w:pPr>
            <w:r>
              <w:rPr>
                <w:i/>
              </w:rPr>
              <w:lastRenderedPageBreak/>
              <w:t xml:space="preserve">DI </w:t>
            </w:r>
          </w:p>
        </w:tc>
        <w:tc>
          <w:tcPr>
            <w:tcW w:w="213" w:type="dxa"/>
            <w:shd w:val="clear" w:color="auto" w:fill="FFFFFF" w:themeFill="background1"/>
          </w:tcPr>
          <w:p w:rsidR="00DC24EA" w:rsidRPr="00B5346F" w:rsidRDefault="00DC24EA" w:rsidP="00712257"/>
        </w:tc>
        <w:tc>
          <w:tcPr>
            <w:tcW w:w="3443" w:type="dxa"/>
            <w:tcBorders>
              <w:bottom w:val="single" w:sz="4" w:space="0" w:color="D1C5C3" w:themeColor="accent3"/>
            </w:tcBorders>
            <w:shd w:val="clear" w:color="auto" w:fill="FBF9F9"/>
          </w:tcPr>
          <w:p w:rsidR="00DC24EA" w:rsidRDefault="00DC24EA" w:rsidP="00712257">
            <w:pPr>
              <w:pStyle w:val="Tabel-BrdtekstmedafstandptekstGaramond"/>
            </w:pPr>
            <w:r>
              <w:t>Har ingen bemærkninger til lo</w:t>
            </w:r>
            <w:r>
              <w:t>v</w:t>
            </w:r>
            <w:r>
              <w:t>forslaget.</w:t>
            </w:r>
          </w:p>
        </w:tc>
        <w:tc>
          <w:tcPr>
            <w:tcW w:w="230" w:type="dxa"/>
            <w:shd w:val="clear" w:color="auto" w:fill="FFFFFF" w:themeFill="background1"/>
          </w:tcPr>
          <w:p w:rsidR="00DC24EA" w:rsidRPr="00B5346F" w:rsidRDefault="00DC24EA" w:rsidP="00712257"/>
        </w:tc>
        <w:tc>
          <w:tcPr>
            <w:tcW w:w="3443" w:type="dxa"/>
            <w:tcBorders>
              <w:bottom w:val="single" w:sz="4" w:space="0" w:color="14143C" w:themeColor="accent1"/>
            </w:tcBorders>
            <w:shd w:val="clear" w:color="auto" w:fill="D2CED8"/>
          </w:tcPr>
          <w:p w:rsidR="00DC24EA" w:rsidRDefault="00DC24EA" w:rsidP="00712257">
            <w:pPr>
              <w:pStyle w:val="Tabel-BrdtekstmedafstandptekstGaramond"/>
            </w:pPr>
          </w:p>
        </w:tc>
      </w:tr>
      <w:tr w:rsidR="005B15FF" w:rsidRPr="00773D15" w:rsidTr="004D2BD7">
        <w:tc>
          <w:tcPr>
            <w:tcW w:w="2310" w:type="dxa"/>
            <w:tcBorders>
              <w:bottom w:val="single" w:sz="4" w:space="0" w:color="D1C5C3" w:themeColor="accent3"/>
            </w:tcBorders>
            <w:shd w:val="clear" w:color="auto" w:fill="FBF9F9"/>
          </w:tcPr>
          <w:p w:rsidR="005B15FF" w:rsidRPr="00773D15" w:rsidRDefault="005B15FF" w:rsidP="00712257">
            <w:pPr>
              <w:pStyle w:val="Tabel-BrdtekstmedafstandptekstGaramond"/>
              <w:rPr>
                <w:i/>
                <w:lang w:val="en-US"/>
              </w:rPr>
            </w:pPr>
            <w:r>
              <w:rPr>
                <w:i/>
                <w:lang w:val="en-US"/>
              </w:rPr>
              <w:t>Esvagt</w:t>
            </w:r>
          </w:p>
        </w:tc>
        <w:tc>
          <w:tcPr>
            <w:tcW w:w="213" w:type="dxa"/>
            <w:shd w:val="clear" w:color="auto" w:fill="FFFFFF" w:themeFill="background1"/>
          </w:tcPr>
          <w:p w:rsidR="005B15FF" w:rsidRPr="00773D15" w:rsidRDefault="005B15FF" w:rsidP="00712257">
            <w:pPr>
              <w:rPr>
                <w:lang w:val="en-US"/>
              </w:rPr>
            </w:pPr>
          </w:p>
        </w:tc>
        <w:tc>
          <w:tcPr>
            <w:tcW w:w="3443" w:type="dxa"/>
            <w:tcBorders>
              <w:bottom w:val="single" w:sz="4" w:space="0" w:color="D1C5C3" w:themeColor="accent3"/>
            </w:tcBorders>
            <w:shd w:val="clear" w:color="auto" w:fill="FBF9F9"/>
          </w:tcPr>
          <w:p w:rsidR="005B15FF" w:rsidRDefault="00106CF1" w:rsidP="004505E8">
            <w:pPr>
              <w:pStyle w:val="Tabel-BrdtekstmedafstandptekstGaramond"/>
            </w:pPr>
            <w:r w:rsidRPr="00BE6BF8">
              <w:t>Indledningsvist tilkendegiver Esvagt at være særdeles positiv over for den foreslåede udvidelse af tonnageskatteloven</w:t>
            </w:r>
            <w:r w:rsidR="004505E8">
              <w:t>, som vil v</w:t>
            </w:r>
            <w:r w:rsidR="004505E8">
              <w:t>æ</w:t>
            </w:r>
            <w:r w:rsidR="004505E8">
              <w:t>re afgørende i forhold til fastho</w:t>
            </w:r>
            <w:r w:rsidR="004505E8">
              <w:t>l</w:t>
            </w:r>
            <w:r w:rsidR="004505E8">
              <w:t>delse og styrkelse af den danske offshore rederisektor.</w:t>
            </w:r>
            <w:r w:rsidR="00BE6BF8">
              <w:t xml:space="preserve"> </w:t>
            </w:r>
          </w:p>
          <w:p w:rsidR="008B5C40" w:rsidRDefault="008B5C40" w:rsidP="00712257">
            <w:pPr>
              <w:pStyle w:val="Tabel-BrdtekstmedafstandptekstGaramond"/>
            </w:pPr>
          </w:p>
          <w:p w:rsidR="00FD7291" w:rsidRDefault="00D32258" w:rsidP="00FD7291">
            <w:pPr>
              <w:pStyle w:val="Tabel-BrdtekstmedafstandptekstGaramond"/>
            </w:pPr>
            <w:r>
              <w:t>Det</w:t>
            </w:r>
            <w:r w:rsidR="00FD7291" w:rsidRPr="00F61882">
              <w:t xml:space="preserve"> påpege</w:t>
            </w:r>
            <w:r>
              <w:t>s</w:t>
            </w:r>
            <w:r w:rsidR="00FD7291" w:rsidRPr="00F61882">
              <w:t>, at lovudkastet lægger op til, at symmetrien mellem to</w:t>
            </w:r>
            <w:r w:rsidR="00FD7291" w:rsidRPr="00F61882">
              <w:t>n</w:t>
            </w:r>
            <w:r w:rsidR="00FD7291" w:rsidRPr="00F61882">
              <w:t>nageskatteordningen og D</w:t>
            </w:r>
            <w:r w:rsidR="00FD7291">
              <w:t>IS</w:t>
            </w:r>
            <w:r w:rsidR="00FD7291" w:rsidRPr="00F61882">
              <w:t xml:space="preserve">-ordningen brydes, da der ikke </w:t>
            </w:r>
            <w:r>
              <w:t>sa</w:t>
            </w:r>
            <w:r>
              <w:t>m</w:t>
            </w:r>
            <w:r>
              <w:t>tidig med udvidelsen af tonnag</w:t>
            </w:r>
            <w:r>
              <w:t>e</w:t>
            </w:r>
            <w:r>
              <w:t xml:space="preserve">skatteordningen </w:t>
            </w:r>
            <w:r w:rsidR="00FD7291" w:rsidRPr="00F61882">
              <w:t>sker en tilsvare</w:t>
            </w:r>
            <w:r w:rsidR="00FD7291" w:rsidRPr="00F61882">
              <w:t>n</w:t>
            </w:r>
            <w:r w:rsidR="00FD7291" w:rsidRPr="00F61882">
              <w:t xml:space="preserve">de udvidelse af DIS-ordningen. </w:t>
            </w:r>
          </w:p>
          <w:p w:rsidR="00FD7291" w:rsidRDefault="00FD7291" w:rsidP="00FD7291">
            <w:pPr>
              <w:pStyle w:val="Tabel-BrdtekstmedafstandptekstGaramond"/>
            </w:pPr>
          </w:p>
          <w:p w:rsidR="008E70D8" w:rsidRDefault="00FD7291" w:rsidP="00FD7291">
            <w:pPr>
              <w:pStyle w:val="Tabel-BrdtekstmedafstandptekstGaramond"/>
            </w:pPr>
            <w:r>
              <w:t>Såfremt forslaget skal medvirke til at sikre danske arbejdspladser</w:t>
            </w:r>
            <w:r w:rsidR="005402E2">
              <w:t>,</w:t>
            </w:r>
            <w:r>
              <w:t xml:space="preserve"> er det </w:t>
            </w:r>
            <w:r w:rsidR="007A6F64">
              <w:t xml:space="preserve">ifølge Esvagt </w:t>
            </w:r>
            <w:r>
              <w:t>fuldstændig</w:t>
            </w:r>
            <w:r w:rsidR="00C5748F">
              <w:t>t</w:t>
            </w:r>
            <w:r>
              <w:t xml:space="preserve"> a</w:t>
            </w:r>
            <w:r>
              <w:t>f</w:t>
            </w:r>
            <w:r>
              <w:t>gørende, at der sker en tilsvarende udvidelse af DIS-ordningen. Esvagt opfordrer derfor til, at de</w:t>
            </w:r>
            <w:r>
              <w:t>t</w:t>
            </w:r>
            <w:r>
              <w:t>te spørgsmål undergives politisk drøftelse mellem de berørte fo</w:t>
            </w:r>
            <w:r>
              <w:t>r</w:t>
            </w:r>
            <w:r w:rsidR="005402E2">
              <w:t>ligsparter,</w:t>
            </w:r>
            <w:r>
              <w:t xml:space="preserve"> idet der </w:t>
            </w:r>
            <w:r w:rsidR="00D10F33">
              <w:t>ifølge Esvagt</w:t>
            </w:r>
            <w:r w:rsidR="00E238B6">
              <w:t xml:space="preserve"> </w:t>
            </w:r>
            <w:r>
              <w:t xml:space="preserve">er </w:t>
            </w:r>
            <w:r>
              <w:lastRenderedPageBreak/>
              <w:t>risiko for</w:t>
            </w:r>
            <w:r w:rsidR="005F7320">
              <w:t>,</w:t>
            </w:r>
            <w:r>
              <w:t xml:space="preserve"> at denne del af lo</w:t>
            </w:r>
            <w:r>
              <w:t>v</w:t>
            </w:r>
            <w:r>
              <w:t>forslaget skyldes embedsmandsu</w:t>
            </w:r>
            <w:r>
              <w:t>d</w:t>
            </w:r>
            <w:r>
              <w:t>formning snarere end politisk i</w:t>
            </w:r>
            <w:r>
              <w:t>n</w:t>
            </w:r>
            <w:r>
              <w:t xml:space="preserve">volvering.  </w:t>
            </w:r>
          </w:p>
          <w:p w:rsidR="00FD7291" w:rsidRDefault="00FD7291" w:rsidP="00FD7291">
            <w:pPr>
              <w:pStyle w:val="Tabel-BrdtekstmedafstandptekstGaramond"/>
              <w:rPr>
                <w:rFonts w:eastAsia="Calibri"/>
                <w:szCs w:val="22"/>
              </w:rPr>
            </w:pPr>
          </w:p>
          <w:p w:rsidR="008E70D8" w:rsidRDefault="009E0D00" w:rsidP="00A83CBF">
            <w:pPr>
              <w:pStyle w:val="Tabel-BrdtekstmedafstandptekstGaramond"/>
              <w:rPr>
                <w:rFonts w:eastAsia="Calibri"/>
                <w:szCs w:val="22"/>
              </w:rPr>
            </w:pPr>
            <w:r>
              <w:rPr>
                <w:rFonts w:eastAsia="Calibri"/>
                <w:szCs w:val="22"/>
              </w:rPr>
              <w:t xml:space="preserve">Esvagt </w:t>
            </w:r>
            <w:r w:rsidR="00AF6188">
              <w:rPr>
                <w:rFonts w:eastAsia="Calibri"/>
                <w:szCs w:val="22"/>
              </w:rPr>
              <w:t>foreslår en anden opby</w:t>
            </w:r>
            <w:r w:rsidR="00AF6188">
              <w:rPr>
                <w:rFonts w:eastAsia="Calibri"/>
                <w:szCs w:val="22"/>
              </w:rPr>
              <w:t>g</w:t>
            </w:r>
            <w:r w:rsidR="00AF6188">
              <w:rPr>
                <w:rFonts w:eastAsia="Calibri"/>
                <w:szCs w:val="22"/>
              </w:rPr>
              <w:t xml:space="preserve">ning af lovforslaget, </w:t>
            </w:r>
            <w:r w:rsidR="005A5977">
              <w:rPr>
                <w:rFonts w:eastAsia="Calibri"/>
                <w:szCs w:val="22"/>
              </w:rPr>
              <w:t>så</w:t>
            </w:r>
            <w:r w:rsidR="00AF6188">
              <w:rPr>
                <w:rFonts w:eastAsia="Calibri"/>
                <w:szCs w:val="22"/>
              </w:rPr>
              <w:t xml:space="preserve"> </w:t>
            </w:r>
            <w:r w:rsidR="007B1EEE">
              <w:rPr>
                <w:rFonts w:eastAsia="Calibri"/>
                <w:szCs w:val="22"/>
              </w:rPr>
              <w:t xml:space="preserve">der </w:t>
            </w:r>
            <w:r w:rsidR="00C63009">
              <w:rPr>
                <w:rFonts w:eastAsia="Calibri"/>
                <w:szCs w:val="22"/>
              </w:rPr>
              <w:t>indsæ</w:t>
            </w:r>
            <w:r w:rsidR="00C63009">
              <w:rPr>
                <w:rFonts w:eastAsia="Calibri"/>
                <w:szCs w:val="22"/>
              </w:rPr>
              <w:t>t</w:t>
            </w:r>
            <w:r w:rsidR="00C63009">
              <w:rPr>
                <w:rFonts w:eastAsia="Calibri"/>
                <w:szCs w:val="22"/>
              </w:rPr>
              <w:t xml:space="preserve">tes en ny </w:t>
            </w:r>
            <w:r w:rsidR="00F04F1C">
              <w:rPr>
                <w:rFonts w:eastAsia="Calibri"/>
                <w:szCs w:val="22"/>
              </w:rPr>
              <w:t>bestemmelse for de akt</w:t>
            </w:r>
            <w:r w:rsidR="00F04F1C">
              <w:rPr>
                <w:rFonts w:eastAsia="Calibri"/>
                <w:szCs w:val="22"/>
              </w:rPr>
              <w:t>i</w:t>
            </w:r>
            <w:r w:rsidR="00F04F1C">
              <w:rPr>
                <w:rFonts w:eastAsia="Calibri"/>
                <w:szCs w:val="22"/>
              </w:rPr>
              <w:t>viteter, som tonnageskatteordni</w:t>
            </w:r>
            <w:r w:rsidR="00F04F1C">
              <w:rPr>
                <w:rFonts w:eastAsia="Calibri"/>
                <w:szCs w:val="22"/>
              </w:rPr>
              <w:t>n</w:t>
            </w:r>
            <w:r w:rsidR="00F04F1C">
              <w:rPr>
                <w:rFonts w:eastAsia="Calibri"/>
                <w:szCs w:val="22"/>
              </w:rPr>
              <w:t>gen udvide</w:t>
            </w:r>
            <w:r w:rsidR="005A5977">
              <w:rPr>
                <w:rFonts w:eastAsia="Calibri"/>
                <w:szCs w:val="22"/>
              </w:rPr>
              <w:t>s med, i stedet for at udvidelsen foretages ved en in</w:t>
            </w:r>
            <w:r w:rsidR="005A5977">
              <w:rPr>
                <w:rFonts w:eastAsia="Calibri"/>
                <w:szCs w:val="22"/>
              </w:rPr>
              <w:t>d</w:t>
            </w:r>
            <w:r w:rsidR="005A5977">
              <w:rPr>
                <w:rFonts w:eastAsia="Calibri"/>
                <w:szCs w:val="22"/>
              </w:rPr>
              <w:t>skrænkning af undtagelsesb</w:t>
            </w:r>
            <w:r w:rsidR="005A5977">
              <w:rPr>
                <w:rFonts w:eastAsia="Calibri"/>
                <w:szCs w:val="22"/>
              </w:rPr>
              <w:t>e</w:t>
            </w:r>
            <w:r w:rsidR="005A5977">
              <w:rPr>
                <w:rFonts w:eastAsia="Calibri"/>
                <w:szCs w:val="22"/>
              </w:rPr>
              <w:t>stemmelsen i den gældende § 8.</w:t>
            </w:r>
            <w:r w:rsidR="00F04F1C">
              <w:rPr>
                <w:rFonts w:eastAsia="Calibri"/>
                <w:szCs w:val="22"/>
              </w:rPr>
              <w:t xml:space="preserve"> </w:t>
            </w:r>
          </w:p>
          <w:p w:rsidR="00640866" w:rsidRDefault="00640866" w:rsidP="00A83CBF">
            <w:pPr>
              <w:pStyle w:val="Tabel-BrdtekstmedafstandptekstGaramond"/>
              <w:rPr>
                <w:rFonts w:eastAsia="Calibri"/>
                <w:szCs w:val="22"/>
              </w:rPr>
            </w:pPr>
          </w:p>
          <w:p w:rsidR="002277E9" w:rsidRDefault="002277E9" w:rsidP="00A83CBF">
            <w:pPr>
              <w:pStyle w:val="Tabel-BrdtekstmedafstandptekstGaramond"/>
              <w:rPr>
                <w:rFonts w:eastAsia="Calibri"/>
                <w:szCs w:val="22"/>
              </w:rPr>
            </w:pPr>
          </w:p>
          <w:p w:rsidR="002277E9" w:rsidRDefault="002277E9" w:rsidP="00A83CBF">
            <w:pPr>
              <w:pStyle w:val="Tabel-BrdtekstmedafstandptekstGaramond"/>
              <w:rPr>
                <w:rFonts w:eastAsia="Calibri"/>
                <w:szCs w:val="22"/>
              </w:rPr>
            </w:pPr>
          </w:p>
          <w:p w:rsidR="002277E9" w:rsidRDefault="002277E9" w:rsidP="00A83CBF">
            <w:pPr>
              <w:pStyle w:val="Tabel-BrdtekstmedafstandptekstGaramond"/>
              <w:rPr>
                <w:rFonts w:eastAsia="Calibri"/>
                <w:szCs w:val="22"/>
              </w:rPr>
            </w:pPr>
          </w:p>
          <w:p w:rsidR="002277E9" w:rsidRDefault="002277E9"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665E9B" w:rsidRDefault="00665E9B" w:rsidP="00A83CBF">
            <w:pPr>
              <w:pStyle w:val="Tabel-BrdtekstmedafstandptekstGaramond"/>
              <w:rPr>
                <w:rFonts w:eastAsia="Calibri"/>
                <w:szCs w:val="22"/>
              </w:rPr>
            </w:pPr>
          </w:p>
          <w:p w:rsidR="002277E9" w:rsidRDefault="002277E9" w:rsidP="00A83CBF">
            <w:pPr>
              <w:pStyle w:val="Tabel-BrdtekstmedafstandptekstGaramond"/>
              <w:rPr>
                <w:rFonts w:eastAsia="Calibri"/>
                <w:szCs w:val="22"/>
              </w:rPr>
            </w:pPr>
          </w:p>
          <w:p w:rsidR="007B1EEE" w:rsidRDefault="007B1EEE" w:rsidP="00A83CBF">
            <w:pPr>
              <w:pStyle w:val="Tabel-BrdtekstmedafstandptekstGaramond"/>
              <w:rPr>
                <w:rFonts w:eastAsia="Calibri"/>
                <w:szCs w:val="22"/>
              </w:rPr>
            </w:pPr>
          </w:p>
          <w:p w:rsidR="00F74C02" w:rsidRDefault="00640866" w:rsidP="00B51AE3">
            <w:pPr>
              <w:pStyle w:val="Tabel-BrdtekstmedafstandptekstGaramond"/>
              <w:rPr>
                <w:rFonts w:eastAsia="Calibri"/>
                <w:szCs w:val="22"/>
              </w:rPr>
            </w:pPr>
            <w:r>
              <w:rPr>
                <w:rFonts w:eastAsia="Calibri"/>
                <w:szCs w:val="22"/>
              </w:rPr>
              <w:t xml:space="preserve">Endelig </w:t>
            </w:r>
            <w:r w:rsidR="00C24646">
              <w:rPr>
                <w:rFonts w:eastAsia="Calibri"/>
                <w:szCs w:val="22"/>
              </w:rPr>
              <w:t>foreslår Esvagt</w:t>
            </w:r>
            <w:r w:rsidR="00B51AE3">
              <w:rPr>
                <w:rFonts w:eastAsia="Calibri"/>
                <w:szCs w:val="22"/>
              </w:rPr>
              <w:t>,</w:t>
            </w:r>
            <w:r w:rsidR="00C24646">
              <w:rPr>
                <w:rFonts w:eastAsia="Calibri"/>
                <w:szCs w:val="22"/>
              </w:rPr>
              <w:t xml:space="preserve"> at det </w:t>
            </w:r>
            <w:r w:rsidR="00F74C02">
              <w:rPr>
                <w:rFonts w:eastAsia="Calibri"/>
                <w:szCs w:val="22"/>
              </w:rPr>
              <w:t>t</w:t>
            </w:r>
            <w:r w:rsidR="00F74C02">
              <w:rPr>
                <w:rFonts w:eastAsia="Calibri"/>
                <w:szCs w:val="22"/>
              </w:rPr>
              <w:t>y</w:t>
            </w:r>
            <w:r w:rsidR="00F74C02">
              <w:rPr>
                <w:rFonts w:eastAsia="Calibri"/>
                <w:szCs w:val="22"/>
              </w:rPr>
              <w:t>deliggøres</w:t>
            </w:r>
            <w:r w:rsidR="00C24646">
              <w:rPr>
                <w:rFonts w:eastAsia="Calibri"/>
                <w:szCs w:val="22"/>
              </w:rPr>
              <w:t xml:space="preserve">, </w:t>
            </w:r>
            <w:r w:rsidR="00F74C02">
              <w:rPr>
                <w:rFonts w:eastAsia="Calibri"/>
                <w:szCs w:val="22"/>
              </w:rPr>
              <w:t xml:space="preserve">om lovforslagets § 1, nr. 1 indebærer en </w:t>
            </w:r>
            <w:r w:rsidR="00CC0D04">
              <w:rPr>
                <w:rFonts w:eastAsia="Calibri"/>
                <w:szCs w:val="22"/>
              </w:rPr>
              <w:t>udvidelse af tonnageskatteordningen for aktiv</w:t>
            </w:r>
            <w:r w:rsidR="00CC0D04">
              <w:rPr>
                <w:rFonts w:eastAsia="Calibri"/>
                <w:szCs w:val="22"/>
              </w:rPr>
              <w:t>i</w:t>
            </w:r>
            <w:r w:rsidR="00CC0D04">
              <w:rPr>
                <w:rFonts w:eastAsia="Calibri"/>
                <w:szCs w:val="22"/>
              </w:rPr>
              <w:t>teter med vagttjeneste,</w:t>
            </w:r>
            <w:r w:rsidR="00F74C02">
              <w:rPr>
                <w:rFonts w:eastAsia="Calibri"/>
                <w:szCs w:val="22"/>
              </w:rPr>
              <w:t xml:space="preserve"> eller </w:t>
            </w:r>
            <w:r w:rsidR="00CC0D04">
              <w:rPr>
                <w:rFonts w:eastAsia="Calibri"/>
                <w:szCs w:val="22"/>
              </w:rPr>
              <w:t xml:space="preserve">om der </w:t>
            </w:r>
            <w:r w:rsidR="00F74C02">
              <w:rPr>
                <w:rFonts w:eastAsia="Calibri"/>
                <w:szCs w:val="22"/>
              </w:rPr>
              <w:t xml:space="preserve">blot </w:t>
            </w:r>
            <w:r w:rsidR="00CC0D04">
              <w:rPr>
                <w:rFonts w:eastAsia="Calibri"/>
                <w:szCs w:val="22"/>
              </w:rPr>
              <w:t xml:space="preserve">er tale om </w:t>
            </w:r>
            <w:r w:rsidR="00F74C02">
              <w:rPr>
                <w:rFonts w:eastAsia="Calibri"/>
                <w:szCs w:val="22"/>
              </w:rPr>
              <w:t>en præcisering af gældende regler.</w:t>
            </w:r>
          </w:p>
          <w:p w:rsidR="00F74C02" w:rsidRDefault="00F74C02" w:rsidP="00B51AE3">
            <w:pPr>
              <w:pStyle w:val="Tabel-BrdtekstmedafstandptekstGaramond"/>
              <w:rPr>
                <w:rFonts w:eastAsia="Calibri"/>
                <w:szCs w:val="22"/>
              </w:rPr>
            </w:pPr>
          </w:p>
          <w:p w:rsidR="00F74C02" w:rsidRDefault="00F74C02" w:rsidP="00B51AE3">
            <w:pPr>
              <w:pStyle w:val="Tabel-BrdtekstmedafstandptekstGaramond"/>
              <w:rPr>
                <w:rFonts w:eastAsia="Calibri"/>
                <w:szCs w:val="22"/>
              </w:rPr>
            </w:pPr>
          </w:p>
          <w:p w:rsidR="00640866" w:rsidRPr="00BE6BF8" w:rsidRDefault="00640866" w:rsidP="00F74C02">
            <w:pPr>
              <w:pStyle w:val="Tabel-BrdtekstmedafstandptekstGaramond"/>
            </w:pPr>
          </w:p>
        </w:tc>
        <w:tc>
          <w:tcPr>
            <w:tcW w:w="230" w:type="dxa"/>
            <w:shd w:val="clear" w:color="auto" w:fill="FFFFFF" w:themeFill="background1"/>
          </w:tcPr>
          <w:p w:rsidR="005B15FF" w:rsidRPr="00BE6BF8" w:rsidRDefault="005B15FF" w:rsidP="00712257"/>
        </w:tc>
        <w:tc>
          <w:tcPr>
            <w:tcW w:w="3443" w:type="dxa"/>
            <w:tcBorders>
              <w:bottom w:val="single" w:sz="4" w:space="0" w:color="14143C" w:themeColor="accent1"/>
            </w:tcBorders>
            <w:shd w:val="clear" w:color="auto" w:fill="D2CED8"/>
          </w:tcPr>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233A83" w:rsidRDefault="00233A83" w:rsidP="00712257">
            <w:pPr>
              <w:pStyle w:val="Tabel-BrdtekstmedafstandptekstGaramond"/>
            </w:pPr>
          </w:p>
          <w:p w:rsidR="00FD7291" w:rsidRDefault="00BD395C" w:rsidP="00712257">
            <w:pPr>
              <w:pStyle w:val="Tabel-BrdtekstmedafstandptekstGaramond"/>
            </w:pPr>
            <w:r>
              <w:t>D</w:t>
            </w:r>
            <w:r w:rsidR="00FD7291">
              <w:t xml:space="preserve">er henvises til kommentaren til Danmarks Rederiforening. </w:t>
            </w:r>
          </w:p>
          <w:p w:rsidR="008B0A59" w:rsidRDefault="008B0A59" w:rsidP="00712257">
            <w:pPr>
              <w:pStyle w:val="Tabel-BrdtekstmedafstandptekstGaramond"/>
            </w:pPr>
          </w:p>
          <w:p w:rsidR="008B0A59" w:rsidRDefault="008B0A59" w:rsidP="00712257">
            <w:pPr>
              <w:pStyle w:val="Tabel-BrdtekstmedafstandptekstGaramond"/>
            </w:pPr>
          </w:p>
          <w:p w:rsidR="008B0A59" w:rsidRDefault="008B0A59" w:rsidP="00712257">
            <w:pPr>
              <w:pStyle w:val="Tabel-BrdtekstmedafstandptekstGaramond"/>
            </w:pPr>
          </w:p>
          <w:p w:rsidR="008B0A59" w:rsidRDefault="008B0A59" w:rsidP="00712257">
            <w:pPr>
              <w:pStyle w:val="Tabel-BrdtekstmedafstandptekstGaramond"/>
            </w:pPr>
          </w:p>
          <w:p w:rsidR="008B0A59" w:rsidRDefault="008B0A59" w:rsidP="00712257">
            <w:pPr>
              <w:pStyle w:val="Tabel-BrdtekstmedafstandptekstGaramond"/>
            </w:pPr>
          </w:p>
          <w:p w:rsidR="007B1EEE" w:rsidRDefault="007B1EEE" w:rsidP="004A3256">
            <w:pPr>
              <w:pStyle w:val="Tabel-BrdtekstmedafstandptekstGaramond"/>
            </w:pPr>
          </w:p>
          <w:p w:rsidR="008B0A59" w:rsidRDefault="008B0A59" w:rsidP="004A3256">
            <w:pPr>
              <w:pStyle w:val="Tabel-BrdtekstmedafstandptekstGaramond"/>
            </w:pPr>
            <w:r>
              <w:t xml:space="preserve">Der henvises til kommentaren til </w:t>
            </w:r>
            <w:r w:rsidR="00561F84">
              <w:t>Danmarks Rederiforening.</w:t>
            </w: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4A3256" w:rsidRDefault="004A3256" w:rsidP="00712257">
            <w:pPr>
              <w:pStyle w:val="Tabel-BrdtekstmedafstandptekstGaramond"/>
            </w:pPr>
          </w:p>
          <w:p w:rsidR="005F7320" w:rsidRDefault="005F7320" w:rsidP="00DE171B">
            <w:pPr>
              <w:pStyle w:val="Tabel-BrdtekstmedafstandptekstGaramond"/>
            </w:pPr>
          </w:p>
          <w:p w:rsidR="00C63009" w:rsidRDefault="00140EFC" w:rsidP="00DE171B">
            <w:pPr>
              <w:pStyle w:val="Tabel-BrdtekstmedafstandptekstGaramond"/>
            </w:pPr>
            <w:r>
              <w:t>F</w:t>
            </w:r>
            <w:r w:rsidR="005A5977">
              <w:t>orslaget til en ændret udformning er hensig</w:t>
            </w:r>
            <w:r w:rsidR="00D32258">
              <w:t>tsmæssigt</w:t>
            </w:r>
            <w:r w:rsidR="005A5977">
              <w:t xml:space="preserve">, </w:t>
            </w:r>
            <w:r w:rsidR="00D32258">
              <w:t>og l</w:t>
            </w:r>
            <w:r w:rsidR="00055E17">
              <w:t>ov</w:t>
            </w:r>
            <w:r w:rsidR="00DE171B">
              <w:t>teksten i forslaget</w:t>
            </w:r>
            <w:r w:rsidR="00055E17">
              <w:t xml:space="preserve"> </w:t>
            </w:r>
            <w:r w:rsidR="00C63009">
              <w:t xml:space="preserve">som fremsat </w:t>
            </w:r>
            <w:r w:rsidR="00055E17">
              <w:t xml:space="preserve">er </w:t>
            </w:r>
            <w:r w:rsidR="00D32258">
              <w:t xml:space="preserve">derfor </w:t>
            </w:r>
            <w:r w:rsidR="00C63009">
              <w:t>ændret i forhold til høringsudk</w:t>
            </w:r>
            <w:r w:rsidR="00C63009">
              <w:t>a</w:t>
            </w:r>
            <w:r w:rsidR="00C63009">
              <w:t>stet. I stedet for at udvidelsen lo</w:t>
            </w:r>
            <w:r w:rsidR="00C63009">
              <w:t>v</w:t>
            </w:r>
            <w:r w:rsidR="00C63009">
              <w:t xml:space="preserve">teknisk </w:t>
            </w:r>
            <w:r w:rsidR="00D32258">
              <w:t>gennemføres</w:t>
            </w:r>
            <w:r w:rsidR="00C63009">
              <w:t xml:space="preserve"> ved en æ</w:t>
            </w:r>
            <w:r w:rsidR="00C63009">
              <w:t>n</w:t>
            </w:r>
            <w:r w:rsidR="00C63009">
              <w:t xml:space="preserve">dring af tonnageskattelovens § 8, opregnes </w:t>
            </w:r>
            <w:r w:rsidR="007134F8">
              <w:t>de aktiviteter, som to</w:t>
            </w:r>
            <w:r w:rsidR="007134F8">
              <w:t>n</w:t>
            </w:r>
            <w:r w:rsidR="00F43950">
              <w:t>n</w:t>
            </w:r>
            <w:r w:rsidR="007134F8">
              <w:t>a</w:t>
            </w:r>
            <w:r w:rsidR="00F43950">
              <w:t xml:space="preserve">geskatteordningen </w:t>
            </w:r>
            <w:r w:rsidR="00C63009">
              <w:t>udvides</w:t>
            </w:r>
            <w:r w:rsidR="00F43950">
              <w:t xml:space="preserve"> med, </w:t>
            </w:r>
            <w:r w:rsidR="00C63009">
              <w:t xml:space="preserve">i stedet i en ny § 8 a i lovforslaget som fremsat. </w:t>
            </w:r>
          </w:p>
          <w:p w:rsidR="00C63009" w:rsidRDefault="00C63009" w:rsidP="00DE171B">
            <w:pPr>
              <w:pStyle w:val="Tabel-BrdtekstmedafstandptekstGaramond"/>
            </w:pPr>
          </w:p>
          <w:p w:rsidR="004A3256" w:rsidRDefault="00C63009" w:rsidP="00DE171B">
            <w:pPr>
              <w:pStyle w:val="Tabel-BrdtekstmedafstandptekstGaramond"/>
            </w:pPr>
            <w:r>
              <w:t>Det er samtidig tydeliggjort i b</w:t>
            </w:r>
            <w:r>
              <w:t>e</w:t>
            </w:r>
            <w:r>
              <w:t>mærkninger</w:t>
            </w:r>
            <w:r w:rsidR="00D32258">
              <w:t>ne</w:t>
            </w:r>
            <w:r>
              <w:t xml:space="preserve">, </w:t>
            </w:r>
            <w:r w:rsidR="00665E9B">
              <w:t>at de i forslaget til § 8 a opregnede aktiviteter vil være omfattet af tonnageskatteordni</w:t>
            </w:r>
            <w:r w:rsidR="00665E9B">
              <w:t>n</w:t>
            </w:r>
            <w:r w:rsidR="00665E9B">
              <w:t>gen, uden at det er en betingelse herfor, at der er tale om transport af passagerer eller gods, og uden at det er en betingelse, at aktivitete</w:t>
            </w:r>
            <w:r w:rsidR="00665E9B">
              <w:t>r</w:t>
            </w:r>
            <w:r w:rsidR="00665E9B">
              <w:t>ne udøves mellem forskellige d</w:t>
            </w:r>
            <w:r w:rsidR="00665E9B">
              <w:t>e</w:t>
            </w:r>
            <w:r w:rsidR="00665E9B">
              <w:t xml:space="preserve">stinationer. </w:t>
            </w:r>
          </w:p>
          <w:p w:rsidR="00C63009" w:rsidRDefault="00C63009" w:rsidP="00DE171B">
            <w:pPr>
              <w:pStyle w:val="Tabel-BrdtekstmedafstandptekstGaramond"/>
            </w:pPr>
          </w:p>
          <w:p w:rsidR="006E7F20" w:rsidRDefault="001270D2" w:rsidP="00CC0D04">
            <w:pPr>
              <w:pStyle w:val="Tabel-BrdtekstmedafstandptekstGaramond"/>
            </w:pPr>
            <w:r>
              <w:t xml:space="preserve">Som </w:t>
            </w:r>
            <w:r w:rsidR="00CC0D04">
              <w:t xml:space="preserve">ovenfor </w:t>
            </w:r>
            <w:r>
              <w:t>beskrevet er den lo</w:t>
            </w:r>
            <w:r>
              <w:t>v</w:t>
            </w:r>
            <w:r>
              <w:t xml:space="preserve">tekniske udformning af </w:t>
            </w:r>
            <w:r w:rsidR="006941E6">
              <w:t>lovforsl</w:t>
            </w:r>
            <w:r w:rsidR="006941E6">
              <w:t>a</w:t>
            </w:r>
            <w:r w:rsidR="006941E6">
              <w:t>get</w:t>
            </w:r>
            <w:r>
              <w:t xml:space="preserve"> ændret, herunder forslaget i høringsudkastets § 1, nr. 1.</w:t>
            </w:r>
          </w:p>
          <w:p w:rsidR="00CC0D04" w:rsidRDefault="00CC0D04" w:rsidP="00CC0D04">
            <w:pPr>
              <w:pStyle w:val="Tabel-BrdtekstmedafstandptekstGaramond"/>
            </w:pPr>
          </w:p>
          <w:p w:rsidR="004277F1" w:rsidRDefault="004277F1" w:rsidP="004277F1">
            <w:pPr>
              <w:pStyle w:val="Tabel-BrdtekstmedafstandptekstGaramond"/>
              <w:rPr>
                <w:iCs/>
              </w:rPr>
            </w:pPr>
            <w:r>
              <w:t>Ændringen</w:t>
            </w:r>
            <w:r w:rsidR="00CC0D04">
              <w:t xml:space="preserve"> af tonnageskatteor</w:t>
            </w:r>
            <w:r w:rsidR="00CC0D04">
              <w:t>d</w:t>
            </w:r>
            <w:r w:rsidR="00CC0D04">
              <w:t>ningen for aktiviteter med vagttj</w:t>
            </w:r>
            <w:r w:rsidR="00CC0D04">
              <w:t>e</w:t>
            </w:r>
            <w:r w:rsidR="00CC0D04">
              <w:t>neste fre</w:t>
            </w:r>
            <w:r>
              <w:t>mgår nu af forslaget til § 8 a, nr. 1</w:t>
            </w:r>
            <w:r w:rsidR="006941E6">
              <w:t>.</w:t>
            </w:r>
            <w:r>
              <w:t xml:space="preserve"> </w:t>
            </w:r>
            <w:r w:rsidRPr="004277F1">
              <w:rPr>
                <w:iCs/>
              </w:rPr>
              <w:t>Med forslaget udvides m</w:t>
            </w:r>
            <w:r w:rsidRPr="004277F1">
              <w:rPr>
                <w:iCs/>
              </w:rPr>
              <w:t>u</w:t>
            </w:r>
            <w:r w:rsidRPr="004277F1">
              <w:rPr>
                <w:iCs/>
              </w:rPr>
              <w:t>ligheden for, at indkomst ved vag</w:t>
            </w:r>
            <w:r w:rsidRPr="004277F1">
              <w:rPr>
                <w:iCs/>
              </w:rPr>
              <w:t>t</w:t>
            </w:r>
            <w:r w:rsidRPr="004277F1">
              <w:rPr>
                <w:iCs/>
              </w:rPr>
              <w:t>tjeneste kan omfattes af tonnag</w:t>
            </w:r>
            <w:r w:rsidRPr="004277F1">
              <w:rPr>
                <w:iCs/>
              </w:rPr>
              <w:t>e</w:t>
            </w:r>
            <w:r w:rsidRPr="004277F1">
              <w:rPr>
                <w:iCs/>
              </w:rPr>
              <w:t xml:space="preserve">skatteordningen, da </w:t>
            </w:r>
            <w:r>
              <w:rPr>
                <w:iCs/>
              </w:rPr>
              <w:t>hverken kr</w:t>
            </w:r>
            <w:r>
              <w:rPr>
                <w:iCs/>
              </w:rPr>
              <w:t>a</w:t>
            </w:r>
            <w:r>
              <w:rPr>
                <w:iCs/>
              </w:rPr>
              <w:t>vet om transport af passagerer e</w:t>
            </w:r>
            <w:r>
              <w:rPr>
                <w:iCs/>
              </w:rPr>
              <w:t>l</w:t>
            </w:r>
            <w:r>
              <w:rPr>
                <w:iCs/>
              </w:rPr>
              <w:t xml:space="preserve">ler gods eller </w:t>
            </w:r>
            <w:r w:rsidRPr="004277F1">
              <w:rPr>
                <w:iCs/>
              </w:rPr>
              <w:t xml:space="preserve">destinationskravet gælder for de aktiviteter, der er omfattet af § 8 a. Det betyder, at </w:t>
            </w:r>
            <w:r w:rsidRPr="004277F1">
              <w:rPr>
                <w:iCs/>
              </w:rPr>
              <w:lastRenderedPageBreak/>
              <w:t>vagttjeneste ved f.eks. kabellæ</w:t>
            </w:r>
            <w:r w:rsidRPr="004277F1">
              <w:rPr>
                <w:iCs/>
              </w:rPr>
              <w:t>g</w:t>
            </w:r>
            <w:r w:rsidRPr="004277F1">
              <w:rPr>
                <w:iCs/>
              </w:rPr>
              <w:t>ning og andre ikke faste installat</w:t>
            </w:r>
            <w:r w:rsidRPr="004277F1">
              <w:rPr>
                <w:iCs/>
              </w:rPr>
              <w:t>i</w:t>
            </w:r>
            <w:r w:rsidRPr="004277F1">
              <w:rPr>
                <w:iCs/>
              </w:rPr>
              <w:t>oner fremover vil være omfattet af tonnageskatteordningen.</w:t>
            </w:r>
            <w:r w:rsidR="00B84594">
              <w:rPr>
                <w:iCs/>
              </w:rPr>
              <w:t xml:space="preserve"> </w:t>
            </w:r>
          </w:p>
          <w:p w:rsidR="004277F1" w:rsidRDefault="004277F1" w:rsidP="004277F1">
            <w:pPr>
              <w:pStyle w:val="Tabel-BrdtekstmedafstandptekstGaramond"/>
              <w:rPr>
                <w:iCs/>
              </w:rPr>
            </w:pPr>
          </w:p>
          <w:p w:rsidR="004277F1" w:rsidRPr="00BE6BF8" w:rsidRDefault="004277F1" w:rsidP="004277F1">
            <w:pPr>
              <w:pStyle w:val="Tabel-BrdtekstmedafstandptekstGaramond"/>
            </w:pPr>
            <w:r w:rsidRPr="004277F1">
              <w:t xml:space="preserve">Hvis et vagtskib </w:t>
            </w:r>
            <w:proofErr w:type="gramStart"/>
            <w:r w:rsidRPr="004277F1">
              <w:t>udøver egentlig</w:t>
            </w:r>
            <w:proofErr w:type="gramEnd"/>
            <w:r w:rsidRPr="004277F1">
              <w:t xml:space="preserve"> rederivirksomhed mellem forske</w:t>
            </w:r>
            <w:r w:rsidRPr="004277F1">
              <w:t>l</w:t>
            </w:r>
            <w:r w:rsidRPr="004277F1">
              <w:t>lige destinationer, vil sådan aktiv</w:t>
            </w:r>
            <w:r w:rsidRPr="004277F1">
              <w:t>i</w:t>
            </w:r>
            <w:r w:rsidRPr="004277F1">
              <w:t>tet fortsat være omfattet af tonn</w:t>
            </w:r>
            <w:r w:rsidRPr="004277F1">
              <w:t>a</w:t>
            </w:r>
            <w:r w:rsidRPr="004277F1">
              <w:t>geskattelovens § 6 og ikke af den foreslåede bestemmelse i tonnag</w:t>
            </w:r>
            <w:r w:rsidRPr="004277F1">
              <w:t>e</w:t>
            </w:r>
            <w:r w:rsidRPr="004277F1">
              <w:t>skattelovens § 8 a, nr. 1. Det vil f.eks. være tilfældet, hvis aktivit</w:t>
            </w:r>
            <w:r w:rsidRPr="004277F1">
              <w:t>e</w:t>
            </w:r>
            <w:r w:rsidRPr="004277F1">
              <w:t>ten udføres ved offshore-virksomhed, eller hvis aktiviteten udføres ved en destination til søs.</w:t>
            </w:r>
            <w:r w:rsidR="00B84594">
              <w:t xml:space="preserve"> Der henvises til bemærkningerne til lovforslagets § 1, nr. 5.</w:t>
            </w:r>
          </w:p>
        </w:tc>
      </w:tr>
      <w:tr w:rsidR="007E0996" w:rsidRPr="00773D15" w:rsidTr="004D2BD7">
        <w:tc>
          <w:tcPr>
            <w:tcW w:w="2310" w:type="dxa"/>
            <w:tcBorders>
              <w:bottom w:val="single" w:sz="4" w:space="0" w:color="D1C5C3" w:themeColor="accent3"/>
            </w:tcBorders>
            <w:shd w:val="clear" w:color="auto" w:fill="FBF9F9"/>
          </w:tcPr>
          <w:p w:rsidR="007E0996" w:rsidRPr="007E0996" w:rsidRDefault="007E0996" w:rsidP="00712257">
            <w:pPr>
              <w:pStyle w:val="Tabel-BrdtekstmedafstandptekstGaramond"/>
              <w:rPr>
                <w:i/>
              </w:rPr>
            </w:pPr>
            <w:r>
              <w:rPr>
                <w:i/>
              </w:rPr>
              <w:lastRenderedPageBreak/>
              <w:t xml:space="preserve">Fagligt Fælles Forbund </w:t>
            </w:r>
            <w:r w:rsidR="004A24B4">
              <w:rPr>
                <w:i/>
              </w:rPr>
              <w:t>– 3F</w:t>
            </w:r>
          </w:p>
        </w:tc>
        <w:tc>
          <w:tcPr>
            <w:tcW w:w="213" w:type="dxa"/>
            <w:shd w:val="clear" w:color="auto" w:fill="FFFFFF" w:themeFill="background1"/>
          </w:tcPr>
          <w:p w:rsidR="007E0996" w:rsidRPr="007E0996" w:rsidRDefault="007E0996" w:rsidP="00712257"/>
        </w:tc>
        <w:tc>
          <w:tcPr>
            <w:tcW w:w="3443" w:type="dxa"/>
            <w:tcBorders>
              <w:bottom w:val="single" w:sz="4" w:space="0" w:color="D1C5C3" w:themeColor="accent3"/>
            </w:tcBorders>
            <w:shd w:val="clear" w:color="auto" w:fill="FBF9F9"/>
          </w:tcPr>
          <w:p w:rsidR="003F072D" w:rsidRDefault="003F072D" w:rsidP="007E0996">
            <w:pPr>
              <w:pStyle w:val="Tabel-BrdtekstmedafstandptekstGaramond"/>
            </w:pPr>
            <w:r>
              <w:t>3F beklager indledningsvist, at lo</w:t>
            </w:r>
            <w:r>
              <w:t>v</w:t>
            </w:r>
            <w:r>
              <w:t>forslaget ikke har været sendt til for</w:t>
            </w:r>
            <w:r w:rsidR="00A42E58">
              <w:t>bundet</w:t>
            </w:r>
            <w:r>
              <w:t xml:space="preserve"> i forbindelse med h</w:t>
            </w:r>
            <w:r>
              <w:t>ø</w:t>
            </w:r>
            <w:r>
              <w:t xml:space="preserve">ringen. </w:t>
            </w:r>
          </w:p>
          <w:p w:rsidR="003F072D" w:rsidRDefault="003F072D"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2204DF" w:rsidRDefault="002204DF" w:rsidP="007E0996">
            <w:pPr>
              <w:pStyle w:val="Tabel-BrdtekstmedafstandptekstGaramond"/>
            </w:pPr>
          </w:p>
          <w:p w:rsidR="007E0996" w:rsidRDefault="00FE79AE" w:rsidP="007E0996">
            <w:pPr>
              <w:pStyle w:val="Tabel-BrdtekstmedafstandptekstGaramond"/>
            </w:pPr>
            <w:r>
              <w:t xml:space="preserve">Det anføres, at </w:t>
            </w:r>
            <w:r w:rsidR="00655E0A">
              <w:t>forbundet</w:t>
            </w:r>
            <w:r>
              <w:t xml:space="preserve"> ved</w:t>
            </w:r>
            <w:r w:rsidR="003F072D">
              <w:t xml:space="preserve"> </w:t>
            </w:r>
            <w:r>
              <w:t>in</w:t>
            </w:r>
            <w:r>
              <w:t>d</w:t>
            </w:r>
            <w:r>
              <w:t>førelsen af tonnageskatteordni</w:t>
            </w:r>
            <w:r>
              <w:t>n</w:t>
            </w:r>
            <w:r>
              <w:t xml:space="preserve">gen anbefalede, at </w:t>
            </w:r>
            <w:r w:rsidR="004A1E25">
              <w:t xml:space="preserve">der blev knyttet en betingelse om </w:t>
            </w:r>
            <w:r>
              <w:t>øget dansk b</w:t>
            </w:r>
            <w:r>
              <w:t>e</w:t>
            </w:r>
            <w:r>
              <w:t>skæftigelse</w:t>
            </w:r>
            <w:r w:rsidR="004A1E25">
              <w:t xml:space="preserve"> til ordningen</w:t>
            </w:r>
            <w:r>
              <w:t xml:space="preserve">. </w:t>
            </w:r>
            <w:r w:rsidR="00655E0A">
              <w:t>Forbu</w:t>
            </w:r>
            <w:r w:rsidR="00655E0A">
              <w:t>n</w:t>
            </w:r>
            <w:r w:rsidR="00655E0A">
              <w:t>det</w:t>
            </w:r>
            <w:r>
              <w:t xml:space="preserve"> anbefalede desuden, at </w:t>
            </w:r>
            <w:r w:rsidR="004A1E25">
              <w:t>b</w:t>
            </w:r>
            <w:r w:rsidR="004A1E25">
              <w:t>e</w:t>
            </w:r>
            <w:r w:rsidR="004A1E25">
              <w:t xml:space="preserve">stemmelsen i </w:t>
            </w:r>
            <w:r w:rsidR="004A1E25" w:rsidRPr="00BB102C">
              <w:t xml:space="preserve">§ 10 i lov om Dansk Internationalt Skibsregister </w:t>
            </w:r>
            <w:r w:rsidR="00AE0E67">
              <w:t>blev ændret</w:t>
            </w:r>
            <w:r w:rsidR="000C64CA">
              <w:t xml:space="preserve">, så den blev bragt i </w:t>
            </w:r>
            <w:r w:rsidR="004A1E25" w:rsidRPr="00BB102C">
              <w:t>ove</w:t>
            </w:r>
            <w:r w:rsidR="004A1E25" w:rsidRPr="00BB102C">
              <w:t>r</w:t>
            </w:r>
            <w:r w:rsidR="004A1E25" w:rsidRPr="00BB102C">
              <w:t>ensstemmelse med ILO’s anbef</w:t>
            </w:r>
            <w:r w:rsidR="004A1E25" w:rsidRPr="00BB102C">
              <w:t>a</w:t>
            </w:r>
            <w:r w:rsidR="004A1E25" w:rsidRPr="00BB102C">
              <w:t>linger.</w:t>
            </w:r>
            <w:r w:rsidR="000C64CA">
              <w:t xml:space="preserve"> 3F opfordrer til, at de nævnte anbefalinger </w:t>
            </w:r>
            <w:r w:rsidR="00655E0A">
              <w:t xml:space="preserve">denne gang </w:t>
            </w:r>
            <w:r w:rsidR="00655E0A">
              <w:lastRenderedPageBreak/>
              <w:t xml:space="preserve">bliver </w:t>
            </w:r>
            <w:r w:rsidR="000C64CA">
              <w:t>imødekomme</w:t>
            </w:r>
            <w:r w:rsidR="00655E0A">
              <w:t xml:space="preserve">t. </w:t>
            </w:r>
            <w:r w:rsidR="00CB3FC3">
              <w:t xml:space="preserve">I modsat fald </w:t>
            </w:r>
            <w:r w:rsidR="00655E0A">
              <w:t>kan forbundet ikke</w:t>
            </w:r>
            <w:r w:rsidR="00CB3FC3">
              <w:t xml:space="preserve"> støtte fo</w:t>
            </w:r>
            <w:r w:rsidR="00CB3FC3">
              <w:t>r</w:t>
            </w:r>
            <w:r w:rsidR="00CB3FC3">
              <w:t>slaget.</w:t>
            </w:r>
          </w:p>
          <w:p w:rsidR="00655E0A" w:rsidRDefault="00655E0A" w:rsidP="007E0996">
            <w:pPr>
              <w:pStyle w:val="Tabel-BrdtekstmedafstandptekstGaramond"/>
            </w:pPr>
          </w:p>
          <w:p w:rsidR="00411BCC" w:rsidRDefault="007E0996" w:rsidP="00411BCC">
            <w:pPr>
              <w:pStyle w:val="Tabel-BrdtekstmedafstandptekstGaramond"/>
            </w:pPr>
            <w:r>
              <w:t>3F</w:t>
            </w:r>
            <w:r w:rsidR="00655E0A">
              <w:t xml:space="preserve"> er ikke enig i vurderingen af, </w:t>
            </w:r>
            <w:r w:rsidR="00B1751D">
              <w:t xml:space="preserve">at </w:t>
            </w:r>
            <w:r w:rsidR="00655E0A">
              <w:t>udvidelsen af tonnageskatteor</w:t>
            </w:r>
            <w:r w:rsidR="00655E0A">
              <w:t>d</w:t>
            </w:r>
            <w:r w:rsidR="00655E0A">
              <w:t xml:space="preserve">ningen vil indebære </w:t>
            </w:r>
            <w:r>
              <w:t>et ikke nævn</w:t>
            </w:r>
            <w:r>
              <w:t>e</w:t>
            </w:r>
            <w:r>
              <w:t>værdigt mindreprovenu</w:t>
            </w:r>
            <w:r w:rsidR="00655E0A">
              <w:t>.</w:t>
            </w:r>
            <w:r>
              <w:t xml:space="preserve"> </w:t>
            </w:r>
            <w:r w:rsidR="002E31D0">
              <w:t>Forbu</w:t>
            </w:r>
            <w:r w:rsidR="002E31D0">
              <w:t>n</w:t>
            </w:r>
            <w:r w:rsidR="002E31D0">
              <w:t>det</w:t>
            </w:r>
            <w:r>
              <w:t xml:space="preserve"> </w:t>
            </w:r>
            <w:r w:rsidR="00B1751D">
              <w:t>henviser i den forbindelse til, at der ved indførelsen af tonnag</w:t>
            </w:r>
            <w:r w:rsidR="00B1751D">
              <w:t>e</w:t>
            </w:r>
            <w:r w:rsidR="00B1751D">
              <w:t xml:space="preserve">skatteordningen var flere rederier, der </w:t>
            </w:r>
            <w:r w:rsidR="00411BCC">
              <w:t xml:space="preserve">som følge af overgangen til tonnagebeskatningen </w:t>
            </w:r>
            <w:r w:rsidR="00B1751D">
              <w:t>indtægtsførte udskudte skatter</w:t>
            </w:r>
            <w:r w:rsidR="00411BCC">
              <w:t>, der var oparbe</w:t>
            </w:r>
            <w:r w:rsidR="00411BCC">
              <w:t>j</w:t>
            </w:r>
            <w:r w:rsidR="00411BCC">
              <w:t>det under den hidtidige beska</w:t>
            </w:r>
            <w:r w:rsidR="00411BCC">
              <w:t>t</w:t>
            </w:r>
            <w:r w:rsidR="00411BCC">
              <w:t xml:space="preserve">ning. Forbundet opfordrer til, at </w:t>
            </w:r>
          </w:p>
          <w:p w:rsidR="007E0996" w:rsidRDefault="007E0996" w:rsidP="007E0996">
            <w:pPr>
              <w:pStyle w:val="Tabel-BrdtekstmedafstandptekstGaramond"/>
            </w:pPr>
            <w:r>
              <w:t>problemstilling</w:t>
            </w:r>
            <w:r w:rsidR="00411BCC">
              <w:t>en</w:t>
            </w:r>
            <w:r>
              <w:t xml:space="preserve"> vedrørende</w:t>
            </w:r>
            <w:r w:rsidR="00411BCC">
              <w:t xml:space="preserve"> en eventuel</w:t>
            </w:r>
            <w:r>
              <w:t xml:space="preserve"> udskudt skat, der måtte være til stede ved </w:t>
            </w:r>
            <w:r w:rsidR="00411BCC">
              <w:t>den foreslåede udvidelse</w:t>
            </w:r>
            <w:r>
              <w:t>, afklares under de polit</w:t>
            </w:r>
            <w:r>
              <w:t>i</w:t>
            </w:r>
            <w:r>
              <w:t xml:space="preserve">ske forhandlinger. </w:t>
            </w:r>
          </w:p>
          <w:p w:rsidR="007E0996" w:rsidRDefault="007E0996" w:rsidP="007E0996">
            <w:pPr>
              <w:pStyle w:val="Tabel-BrdtekstmedafstandptekstGaramond"/>
            </w:pPr>
          </w:p>
          <w:p w:rsidR="007E0996" w:rsidRPr="00BE6BF8" w:rsidRDefault="002E31D0" w:rsidP="007E0996">
            <w:pPr>
              <w:pStyle w:val="Tabel-BrdtekstmedafstandptekstGaramond"/>
            </w:pPr>
            <w:r>
              <w:t>Endelig</w:t>
            </w:r>
            <w:r w:rsidR="007E0996">
              <w:t xml:space="preserve"> opfordrer 3F til, at de in</w:t>
            </w:r>
            <w:r w:rsidR="007E0996">
              <w:t>i</w:t>
            </w:r>
            <w:r w:rsidR="007E0996">
              <w:t xml:space="preserve">tiativer fra </w:t>
            </w:r>
            <w:r w:rsidR="007E0996" w:rsidRPr="007F344E">
              <w:rPr>
                <w:i/>
                <w:iCs/>
              </w:rPr>
              <w:t>Vækstplan for det Blå Danmark</w:t>
            </w:r>
            <w:r w:rsidR="007E0996">
              <w:t>, som ikke indgår i lo</w:t>
            </w:r>
            <w:r w:rsidR="007E0996">
              <w:t>v</w:t>
            </w:r>
            <w:r w:rsidR="007E0996">
              <w:t>forslaget, bliver inddraget.</w:t>
            </w:r>
          </w:p>
        </w:tc>
        <w:tc>
          <w:tcPr>
            <w:tcW w:w="230" w:type="dxa"/>
            <w:shd w:val="clear" w:color="auto" w:fill="FFFFFF" w:themeFill="background1"/>
          </w:tcPr>
          <w:p w:rsidR="007E0996" w:rsidRPr="00BE6BF8" w:rsidRDefault="007E0996" w:rsidP="00712257"/>
        </w:tc>
        <w:tc>
          <w:tcPr>
            <w:tcW w:w="3443" w:type="dxa"/>
            <w:tcBorders>
              <w:bottom w:val="single" w:sz="4" w:space="0" w:color="14143C" w:themeColor="accent1"/>
            </w:tcBorders>
            <w:shd w:val="clear" w:color="auto" w:fill="D2CED8"/>
          </w:tcPr>
          <w:p w:rsidR="007E0996" w:rsidRDefault="00D03AE6" w:rsidP="007E0996">
            <w:pPr>
              <w:pStyle w:val="Tabel-BrdtekstmedafstandptekstGaramond"/>
            </w:pPr>
            <w:r>
              <w:t>Skatteministeriet</w:t>
            </w:r>
            <w:r w:rsidR="00A42E58">
              <w:t xml:space="preserve"> har noteret sig det</w:t>
            </w:r>
            <w:r w:rsidR="002204DF">
              <w:t xml:space="preserve">te </w:t>
            </w:r>
            <w:r w:rsidR="00A42E58">
              <w:t>og bemærker, at lovforslaget efterfølgende er sendt i høring hos forbundet. Det bemærkes samt</w:t>
            </w:r>
            <w:r w:rsidR="002204DF">
              <w:t>i</w:t>
            </w:r>
            <w:r w:rsidR="00A42E58">
              <w:t xml:space="preserve">dig, at forslaget udmønter den del af </w:t>
            </w:r>
            <w:r w:rsidR="00A42E58" w:rsidRPr="002E31D0">
              <w:rPr>
                <w:i/>
              </w:rPr>
              <w:t>Aftale om en vækstpakke</w:t>
            </w:r>
            <w:r w:rsidR="00A42E58">
              <w:t xml:space="preserve"> fra juni 2014, der vedrører en styrkelse af rammevilkårene for Det Blå Da</w:t>
            </w:r>
            <w:r w:rsidR="00A42E58">
              <w:t>n</w:t>
            </w:r>
            <w:r w:rsidR="00A42E58">
              <w:t>mark</w:t>
            </w:r>
            <w:r w:rsidR="008E16EE">
              <w:t xml:space="preserve">, og at det ikke indgår i </w:t>
            </w:r>
            <w:r w:rsidR="002204DF">
              <w:t xml:space="preserve">denne </w:t>
            </w:r>
            <w:r w:rsidR="008E16EE">
              <w:t>aftale, at der skal ske ændringer i sømandsbeskatningsordningen.</w:t>
            </w:r>
          </w:p>
          <w:p w:rsidR="007E0996" w:rsidRDefault="007E0996" w:rsidP="007E0996">
            <w:pPr>
              <w:pStyle w:val="Tabel-BrdtekstmedafstandptekstGaramond"/>
            </w:pPr>
          </w:p>
          <w:p w:rsidR="007E0996" w:rsidRDefault="00D82525" w:rsidP="007E0996">
            <w:pPr>
              <w:pStyle w:val="Tabel-BrdtekstmedafstandptekstGaramond"/>
            </w:pPr>
            <w:r>
              <w:t>Der henvises til kommentaren til Dansk Metal.</w:t>
            </w:r>
          </w:p>
          <w:p w:rsidR="007E0996" w:rsidRDefault="007E0996" w:rsidP="007E0996">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2204DF" w:rsidRDefault="002204DF" w:rsidP="00B1751D">
            <w:pPr>
              <w:pStyle w:val="Tabel-BrdtekstmedafstandptekstGaramond"/>
            </w:pPr>
          </w:p>
          <w:p w:rsidR="007E17D4" w:rsidRDefault="007E17D4" w:rsidP="00B1751D">
            <w:pPr>
              <w:pStyle w:val="Tabel-BrdtekstmedafstandptekstGaramond"/>
            </w:pPr>
          </w:p>
          <w:p w:rsidR="007E17D4" w:rsidRDefault="007E17D4" w:rsidP="00B1751D">
            <w:pPr>
              <w:pStyle w:val="Tabel-BrdtekstmedafstandptekstGaramond"/>
            </w:pPr>
          </w:p>
          <w:p w:rsidR="007E17D4" w:rsidRDefault="007E17D4" w:rsidP="00B1751D">
            <w:pPr>
              <w:pStyle w:val="Tabel-BrdtekstmedafstandptekstGaramond"/>
            </w:pPr>
          </w:p>
          <w:p w:rsidR="00B1751D" w:rsidRPr="00B1751D" w:rsidRDefault="00411BCC" w:rsidP="00B1751D">
            <w:pPr>
              <w:pStyle w:val="Tabel-BrdtekstmedafstandptekstGaramond"/>
            </w:pPr>
            <w:r>
              <w:t>Vurderingen af lovforslagets øk</w:t>
            </w:r>
            <w:r>
              <w:t>o</w:t>
            </w:r>
            <w:r>
              <w:t>nomiske konsekvenser for det o</w:t>
            </w:r>
            <w:r>
              <w:t>f</w:t>
            </w:r>
            <w:r>
              <w:t>fentlige er blandt andet baseret på, at udvidelsen vil omfatte</w:t>
            </w:r>
            <w:r w:rsidR="00A42C5F">
              <w:t xml:space="preserve"> en </w:t>
            </w:r>
            <w:r w:rsidR="00A42E58">
              <w:t xml:space="preserve">række </w:t>
            </w:r>
            <w:r w:rsidR="00A42E58" w:rsidRPr="00B1751D">
              <w:t>specialskibe</w:t>
            </w:r>
            <w:r w:rsidR="00B1751D" w:rsidRPr="00B1751D">
              <w:t xml:space="preserve">, som kun i begrænset omfang </w:t>
            </w:r>
            <w:r w:rsidR="00A42C5F">
              <w:t xml:space="preserve">vurderes </w:t>
            </w:r>
            <w:r w:rsidR="00B1751D" w:rsidRPr="00B1751D">
              <w:t>at være underlagt dansk beskatning</w:t>
            </w:r>
            <w:r>
              <w:t xml:space="preserve"> </w:t>
            </w:r>
            <w:r w:rsidRPr="00B1751D">
              <w:t>i dag</w:t>
            </w:r>
            <w:r>
              <w:t>. Det sky</w:t>
            </w:r>
            <w:r>
              <w:t>l</w:t>
            </w:r>
            <w:r>
              <w:t xml:space="preserve">des, at </w:t>
            </w:r>
            <w:r w:rsidR="00B1751D" w:rsidRPr="00B1751D">
              <w:t>skibe</w:t>
            </w:r>
            <w:r>
              <w:t>ne</w:t>
            </w:r>
            <w:r w:rsidR="00B1751D" w:rsidRPr="00B1751D">
              <w:t xml:space="preserve"> typisk er skatt</w:t>
            </w:r>
            <w:r w:rsidR="00B1751D" w:rsidRPr="00B1751D">
              <w:t>e</w:t>
            </w:r>
            <w:r w:rsidR="00B1751D" w:rsidRPr="00B1751D">
              <w:t>mæssigt hjemmehørende i de la</w:t>
            </w:r>
            <w:r w:rsidR="00B1751D" w:rsidRPr="00B1751D">
              <w:t>n</w:t>
            </w:r>
            <w:r w:rsidR="00B1751D" w:rsidRPr="00B1751D">
              <w:t>de, der kan tilbyde den mest fo</w:t>
            </w:r>
            <w:r w:rsidR="00B1751D" w:rsidRPr="00B1751D">
              <w:t>r</w:t>
            </w:r>
            <w:r w:rsidR="00B1751D" w:rsidRPr="00B1751D">
              <w:t xml:space="preserve">delagtige beskatning. </w:t>
            </w:r>
          </w:p>
          <w:p w:rsidR="00B1751D" w:rsidRPr="00B1751D" w:rsidRDefault="00B1751D" w:rsidP="00B1751D">
            <w:pPr>
              <w:pStyle w:val="Tabel-BrdtekstmedafstandptekstGaramond"/>
            </w:pPr>
          </w:p>
          <w:p w:rsidR="002E31D0" w:rsidRDefault="002E31D0" w:rsidP="007E0996">
            <w:pPr>
              <w:pStyle w:val="Tabel-BrdtekstmedafstandptekstGaramond"/>
            </w:pPr>
          </w:p>
          <w:p w:rsidR="007E0996" w:rsidRDefault="007E0996" w:rsidP="007E0996">
            <w:pPr>
              <w:pStyle w:val="Tabel-BrdtekstmedafstandptekstGaramond"/>
            </w:pPr>
          </w:p>
          <w:p w:rsidR="007E0996" w:rsidRDefault="007E0996" w:rsidP="007E0996">
            <w:pPr>
              <w:pStyle w:val="Tabel-BrdtekstmedafstandptekstGaramond"/>
            </w:pPr>
          </w:p>
          <w:p w:rsidR="007E0996" w:rsidRDefault="007E0996" w:rsidP="007E0996">
            <w:pPr>
              <w:pStyle w:val="Tabel-BrdtekstmedafstandptekstGaramond"/>
            </w:pPr>
          </w:p>
          <w:p w:rsidR="007E0996" w:rsidRDefault="007E0996" w:rsidP="007E0996">
            <w:pPr>
              <w:pStyle w:val="Tabel-BrdtekstmedafstandptekstGaramond"/>
            </w:pPr>
          </w:p>
          <w:p w:rsidR="007E0996" w:rsidRDefault="007E0996" w:rsidP="007E0996">
            <w:pPr>
              <w:pStyle w:val="Tabel-BrdtekstmedafstandptekstGaramond"/>
            </w:pPr>
          </w:p>
          <w:p w:rsidR="007E0996" w:rsidRDefault="007D0399" w:rsidP="00190C05">
            <w:pPr>
              <w:pStyle w:val="Tabel-BrdtekstmedafstandptekstGaramond"/>
            </w:pPr>
            <w:r>
              <w:t>L</w:t>
            </w:r>
            <w:r w:rsidR="002E31D0">
              <w:t xml:space="preserve">ovforslaget udmønter </w:t>
            </w:r>
            <w:r>
              <w:t xml:space="preserve">som nævnt en </w:t>
            </w:r>
            <w:r w:rsidR="002E31D0">
              <w:t xml:space="preserve">del af </w:t>
            </w:r>
            <w:r w:rsidR="002E31D0" w:rsidRPr="002E31D0">
              <w:rPr>
                <w:i/>
              </w:rPr>
              <w:t>Aftale om en vækstpakke</w:t>
            </w:r>
            <w:r w:rsidR="002E31D0">
              <w:t xml:space="preserve"> fra juni 2014</w:t>
            </w:r>
            <w:r>
              <w:t xml:space="preserve">. </w:t>
            </w:r>
            <w:r w:rsidR="001246C8">
              <w:t>I</w:t>
            </w:r>
            <w:r>
              <w:t xml:space="preserve"> aftalen er forhan</w:t>
            </w:r>
            <w:r>
              <w:t>d</w:t>
            </w:r>
            <w:r>
              <w:t>lingspartierne</w:t>
            </w:r>
            <w:r w:rsidR="001246C8">
              <w:t xml:space="preserve"> </w:t>
            </w:r>
            <w:r>
              <w:t xml:space="preserve">nået til enighed </w:t>
            </w:r>
            <w:r w:rsidR="001246C8">
              <w:t xml:space="preserve">om visse af initiativerne i regeringens </w:t>
            </w:r>
            <w:r w:rsidR="001246C8" w:rsidRPr="00190C05">
              <w:rPr>
                <w:i/>
              </w:rPr>
              <w:t>Vækstplan for Det Blå Danmark</w:t>
            </w:r>
            <w:r w:rsidR="00190C05">
              <w:t xml:space="preserve">. </w:t>
            </w:r>
            <w:r w:rsidR="002E31D0">
              <w:t>Da de</w:t>
            </w:r>
            <w:r w:rsidR="007E0996">
              <w:t xml:space="preserve"> </w:t>
            </w:r>
            <w:r w:rsidR="002E31D0">
              <w:t xml:space="preserve">øvrige </w:t>
            </w:r>
            <w:r w:rsidR="007E0996">
              <w:t xml:space="preserve">initiativer, som </w:t>
            </w:r>
            <w:r w:rsidR="002E31D0">
              <w:t>ind</w:t>
            </w:r>
            <w:r w:rsidR="007E0996">
              <w:t xml:space="preserve">gik </w:t>
            </w:r>
            <w:r w:rsidR="002E31D0">
              <w:t xml:space="preserve">i regeringens </w:t>
            </w:r>
            <w:r w:rsidR="00190C05">
              <w:rPr>
                <w:iCs/>
              </w:rPr>
              <w:t>vækstplan</w:t>
            </w:r>
            <w:r w:rsidR="002E31D0" w:rsidRPr="002E31D0">
              <w:rPr>
                <w:iCs/>
              </w:rPr>
              <w:t>,</w:t>
            </w:r>
            <w:r w:rsidR="007E0996">
              <w:t xml:space="preserve"> ikke </w:t>
            </w:r>
            <w:r w:rsidR="002E31D0">
              <w:t>er en del af den politiske aftale</w:t>
            </w:r>
            <w:r w:rsidR="007E0996">
              <w:t xml:space="preserve">, indgår </w:t>
            </w:r>
            <w:r w:rsidR="00B34ABB">
              <w:t xml:space="preserve">det ikke i regeringens overvejelser at medtage disse i </w:t>
            </w:r>
            <w:r>
              <w:t>lov</w:t>
            </w:r>
            <w:r w:rsidR="007E0996">
              <w:t>forslaget.</w:t>
            </w:r>
          </w:p>
        </w:tc>
      </w:tr>
      <w:tr w:rsidR="002A4131" w:rsidRPr="00B5346F" w:rsidTr="004D2BD7">
        <w:tc>
          <w:tcPr>
            <w:tcW w:w="2310" w:type="dxa"/>
            <w:tcBorders>
              <w:bottom w:val="single" w:sz="4" w:space="0" w:color="D1C5C3" w:themeColor="accent3"/>
            </w:tcBorders>
            <w:shd w:val="clear" w:color="auto" w:fill="FBF9F9"/>
          </w:tcPr>
          <w:p w:rsidR="002A4131" w:rsidRDefault="002A4131" w:rsidP="00712257">
            <w:pPr>
              <w:pStyle w:val="Tabel-BrdtekstmedafstandptekstGaramond"/>
              <w:rPr>
                <w:i/>
              </w:rPr>
            </w:pPr>
            <w:r>
              <w:rPr>
                <w:i/>
              </w:rPr>
              <w:lastRenderedPageBreak/>
              <w:t>FSR</w:t>
            </w:r>
            <w:r w:rsidR="004009AF">
              <w:rPr>
                <w:i/>
              </w:rPr>
              <w:t xml:space="preserve"> – danske revisorer</w:t>
            </w:r>
          </w:p>
        </w:tc>
        <w:tc>
          <w:tcPr>
            <w:tcW w:w="213" w:type="dxa"/>
            <w:shd w:val="clear" w:color="auto" w:fill="FFFFFF" w:themeFill="background1"/>
          </w:tcPr>
          <w:p w:rsidR="002A4131" w:rsidRPr="00B5346F" w:rsidRDefault="002A4131" w:rsidP="00712257"/>
        </w:tc>
        <w:tc>
          <w:tcPr>
            <w:tcW w:w="3443" w:type="dxa"/>
            <w:tcBorders>
              <w:bottom w:val="single" w:sz="4" w:space="0" w:color="D1C5C3" w:themeColor="accent3"/>
            </w:tcBorders>
            <w:shd w:val="clear" w:color="auto" w:fill="FBF9F9"/>
          </w:tcPr>
          <w:p w:rsidR="006D047B" w:rsidRDefault="006D047B" w:rsidP="00F70313">
            <w:pPr>
              <w:pStyle w:val="Tabel-BrdtekstmedafstandptekstGaramond"/>
            </w:pPr>
            <w:r w:rsidRPr="006D047B">
              <w:rPr>
                <w:b/>
              </w:rPr>
              <w:t>Indledende bemærkninger</w:t>
            </w:r>
          </w:p>
          <w:p w:rsidR="00F70313" w:rsidRDefault="00F70313" w:rsidP="00F70313">
            <w:pPr>
              <w:pStyle w:val="Tabel-BrdtekstmedafstandptekstGaramond"/>
            </w:pPr>
            <w:r w:rsidRPr="00F70313">
              <w:t>Ud over en styrkelse af rederiernes rammevilkår indebærer lovforsl</w:t>
            </w:r>
            <w:r w:rsidRPr="00F70313">
              <w:t>a</w:t>
            </w:r>
            <w:r w:rsidRPr="00F70313">
              <w:t>get, at en række aktuelle afgræn</w:t>
            </w:r>
            <w:r w:rsidRPr="00F70313">
              <w:t>s</w:t>
            </w:r>
            <w:r w:rsidRPr="00F70313">
              <w:t>ningsproblemer i tonnageskattel</w:t>
            </w:r>
            <w:r w:rsidRPr="00F70313">
              <w:t>o</w:t>
            </w:r>
            <w:r w:rsidRPr="00F70313">
              <w:t>ven elimineres, hvilket er positivt. Dog synes der fortsat at være en række afgrænsningsproblemer, som FSR gerne ser afklaret,</w:t>
            </w:r>
          </w:p>
          <w:p w:rsidR="00F70313" w:rsidRPr="00F70313" w:rsidRDefault="00F70313" w:rsidP="00F70313">
            <w:pPr>
              <w:pStyle w:val="Tabel-BrdtekstmedafstandptekstGaramond"/>
            </w:pPr>
          </w:p>
          <w:p w:rsidR="00AD3ED6" w:rsidRDefault="00F70313" w:rsidP="002B4F45">
            <w:pPr>
              <w:pStyle w:val="Tabel-BrdtekstmedafstandptekstGaramond"/>
            </w:pPr>
            <w:r w:rsidRPr="00F70313">
              <w:t xml:space="preserve">Efter FSRs opfattelse illustrerer lovforslaget, at der er behov for en mere gennemgribende revision – især af præciserende karakter – af </w:t>
            </w:r>
            <w:r w:rsidR="008E5E48">
              <w:t>flere</w:t>
            </w:r>
            <w:r w:rsidRPr="00F70313">
              <w:t xml:space="preserve"> af</w:t>
            </w:r>
            <w:r w:rsidR="00D404BE">
              <w:t xml:space="preserve"> </w:t>
            </w:r>
            <w:r w:rsidR="00B82034">
              <w:t xml:space="preserve">de gældende </w:t>
            </w:r>
            <w:r w:rsidRPr="00F70313">
              <w:t xml:space="preserve">bestemmelser i tonnageskatteloven. </w:t>
            </w:r>
            <w:r w:rsidR="002B4F45" w:rsidRPr="002B4F45">
              <w:t>Dette gælder især §§ 6 og 8 om, hvilke aktivit</w:t>
            </w:r>
            <w:r w:rsidR="002B4F45" w:rsidRPr="002B4F45">
              <w:t>e</w:t>
            </w:r>
            <w:r w:rsidR="002B4F45" w:rsidRPr="002B4F45">
              <w:t>ter</w:t>
            </w:r>
            <w:r w:rsidR="002B4F45">
              <w:t>,</w:t>
            </w:r>
            <w:r w:rsidR="002B4F45" w:rsidRPr="002B4F45">
              <w:t xml:space="preserve"> der kvalificerer til tonnageb</w:t>
            </w:r>
            <w:r w:rsidR="002B4F45" w:rsidRPr="002B4F45">
              <w:t>e</w:t>
            </w:r>
            <w:r w:rsidR="002B4F45" w:rsidRPr="002B4F45">
              <w:t>skatning, og hvilke der ikke gør.</w:t>
            </w:r>
          </w:p>
          <w:p w:rsidR="00B94614" w:rsidRDefault="00B94614" w:rsidP="00712257">
            <w:pPr>
              <w:pStyle w:val="Tabel-BrdtekstmedafstandptekstGaramond"/>
            </w:pPr>
          </w:p>
          <w:p w:rsidR="00B82034" w:rsidRDefault="00B82034" w:rsidP="00712257">
            <w:pPr>
              <w:pStyle w:val="Tabel-BrdtekstmedafstandptekstGaramond"/>
            </w:pPr>
          </w:p>
          <w:p w:rsidR="00D82B49" w:rsidRDefault="002B4F45" w:rsidP="00712257">
            <w:pPr>
              <w:pStyle w:val="Tabel-BrdtekstmedafstandptekstGaramond"/>
            </w:pPr>
            <w:r>
              <w:t xml:space="preserve">Det påpeges, at </w:t>
            </w:r>
            <w:r w:rsidR="00D404BE">
              <w:t>den i høringsudk</w:t>
            </w:r>
            <w:r w:rsidR="00D404BE">
              <w:t>a</w:t>
            </w:r>
            <w:r w:rsidR="00D82B49">
              <w:t>stet foreslåede udformning af lo</w:t>
            </w:r>
            <w:r w:rsidR="00D82B49">
              <w:t>v</w:t>
            </w:r>
            <w:r w:rsidR="00D82B49">
              <w:t xml:space="preserve">ændringen, hvor udvidelsen af tonnageordningen sker </w:t>
            </w:r>
            <w:r w:rsidR="00D82B49">
              <w:rPr>
                <w:rFonts w:eastAsia="Calibri"/>
                <w:szCs w:val="22"/>
              </w:rPr>
              <w:t>ved en in</w:t>
            </w:r>
            <w:r w:rsidR="00D82B49">
              <w:rPr>
                <w:rFonts w:eastAsia="Calibri"/>
                <w:szCs w:val="22"/>
              </w:rPr>
              <w:t>d</w:t>
            </w:r>
            <w:r w:rsidR="00D82B49">
              <w:rPr>
                <w:rFonts w:eastAsia="Calibri"/>
                <w:szCs w:val="22"/>
              </w:rPr>
              <w:t>skrænkning af undtagelsesb</w:t>
            </w:r>
            <w:r w:rsidR="00D82B49">
              <w:rPr>
                <w:rFonts w:eastAsia="Calibri"/>
                <w:szCs w:val="22"/>
              </w:rPr>
              <w:t>e</w:t>
            </w:r>
            <w:r w:rsidR="00D82B49">
              <w:rPr>
                <w:rFonts w:eastAsia="Calibri"/>
                <w:szCs w:val="22"/>
              </w:rPr>
              <w:t xml:space="preserve">stemmelsen i § 8, medfører, </w:t>
            </w:r>
            <w:r w:rsidRPr="002B4F45">
              <w:t>at l</w:t>
            </w:r>
            <w:r w:rsidRPr="002B4F45">
              <w:t>o</w:t>
            </w:r>
            <w:r w:rsidRPr="002B4F45">
              <w:t xml:space="preserve">ven </w:t>
            </w:r>
            <w:r w:rsidR="00D404BE">
              <w:t xml:space="preserve">i endnu højere grad </w:t>
            </w:r>
            <w:r w:rsidR="00D82B49">
              <w:t xml:space="preserve">end i dag </w:t>
            </w:r>
            <w:r w:rsidRPr="002B4F45">
              <w:t xml:space="preserve">bliver vanskelig at overskue og ulogisk i sin opbygning. Endvidere </w:t>
            </w:r>
            <w:r w:rsidR="00D82B49">
              <w:t>bliver</w:t>
            </w:r>
            <w:r w:rsidRPr="002B4F45">
              <w:t xml:space="preserve"> det uklart, </w:t>
            </w:r>
            <w:r w:rsidR="00D82B49">
              <w:t xml:space="preserve">om der </w:t>
            </w:r>
            <w:r w:rsidR="00446D7A">
              <w:t>for de p</w:t>
            </w:r>
            <w:r w:rsidR="00446D7A">
              <w:t>å</w:t>
            </w:r>
            <w:r w:rsidR="00446D7A">
              <w:t xml:space="preserve">gældende aktiviteter </w:t>
            </w:r>
            <w:r w:rsidR="00D82B49">
              <w:t>vil gælde en betingelse om, (</w:t>
            </w:r>
            <w:r w:rsidR="0000255F">
              <w:t>i</w:t>
            </w:r>
            <w:r w:rsidR="00D82B49">
              <w:t>) at</w:t>
            </w:r>
            <w:r w:rsidR="00D82B49" w:rsidRPr="002B4F45">
              <w:t xml:space="preserve"> der </w:t>
            </w:r>
            <w:r w:rsidR="00446D7A">
              <w:t>er</w:t>
            </w:r>
            <w:r w:rsidR="00D82B49" w:rsidRPr="002B4F45">
              <w:t xml:space="preserve"> tale om transport af passagerer eller gods</w:t>
            </w:r>
            <w:r w:rsidR="00D82B49">
              <w:t xml:space="preserve">, (ii) at </w:t>
            </w:r>
            <w:r w:rsidR="00446D7A">
              <w:t>aktiviteten sker</w:t>
            </w:r>
            <w:r w:rsidR="00446D7A" w:rsidRPr="002B4F45">
              <w:t xml:space="preserve"> fra én dest</w:t>
            </w:r>
            <w:r w:rsidR="00446D7A" w:rsidRPr="002B4F45">
              <w:t>i</w:t>
            </w:r>
            <w:r w:rsidR="00446D7A" w:rsidRPr="002B4F45">
              <w:t>nation til en anden destination, e</w:t>
            </w:r>
            <w:r w:rsidR="00446D7A" w:rsidRPr="002B4F45">
              <w:t>l</w:t>
            </w:r>
            <w:r w:rsidR="00446D7A">
              <w:t>ler (iii) at begge betingelser er o</w:t>
            </w:r>
            <w:r w:rsidR="00446D7A">
              <w:t>p</w:t>
            </w:r>
            <w:r w:rsidR="00446D7A">
              <w:t>fyldt.</w:t>
            </w:r>
          </w:p>
          <w:p w:rsidR="00D82B49" w:rsidRDefault="00D82B49" w:rsidP="00712257">
            <w:pPr>
              <w:pStyle w:val="Tabel-BrdtekstmedafstandptekstGaramond"/>
            </w:pPr>
          </w:p>
          <w:p w:rsidR="00B82034" w:rsidRDefault="00B82034" w:rsidP="00AB2FCE">
            <w:pPr>
              <w:pStyle w:val="Tabel-BrdtekstmedafstandptekstGaramond"/>
            </w:pPr>
          </w:p>
          <w:p w:rsidR="00B82034" w:rsidRDefault="00B82034" w:rsidP="00AB2FCE">
            <w:pPr>
              <w:pStyle w:val="Tabel-BrdtekstmedafstandptekstGaramond"/>
            </w:pPr>
          </w:p>
          <w:p w:rsidR="00B82034" w:rsidRDefault="00B82034" w:rsidP="00AB2FCE">
            <w:pPr>
              <w:pStyle w:val="Tabel-BrdtekstmedafstandptekstGaramond"/>
            </w:pPr>
          </w:p>
          <w:p w:rsidR="00412E14" w:rsidRDefault="00446D7A" w:rsidP="00AB2FCE">
            <w:pPr>
              <w:pStyle w:val="Tabel-BrdtekstmedafstandptekstGaramond"/>
            </w:pPr>
            <w:r>
              <w:t xml:space="preserve">I høringssvaret </w:t>
            </w:r>
            <w:r w:rsidR="001E75D8">
              <w:t>opstiller</w:t>
            </w:r>
            <w:r>
              <w:t xml:space="preserve"> FSR et mere detaljere</w:t>
            </w:r>
            <w:r w:rsidR="00072DF1">
              <w:t>t</w:t>
            </w:r>
            <w:r w:rsidR="001E75D8">
              <w:t xml:space="preserve"> forslag til </w:t>
            </w:r>
            <w:r w:rsidR="00A8559F">
              <w:t>en ge</w:t>
            </w:r>
            <w:r w:rsidR="00A8559F">
              <w:t>n</w:t>
            </w:r>
            <w:r w:rsidR="00A8559F">
              <w:t xml:space="preserve">nemgribende revision af </w:t>
            </w:r>
            <w:r w:rsidR="001E75D8">
              <w:t>tonnag</w:t>
            </w:r>
            <w:r w:rsidR="001E75D8">
              <w:t>e</w:t>
            </w:r>
            <w:r w:rsidR="001E75D8">
              <w:t>skatte</w:t>
            </w:r>
            <w:r w:rsidR="00A8559F">
              <w:t>lovens opbygning</w:t>
            </w:r>
            <w:r w:rsidR="001E75D8">
              <w:t xml:space="preserve">. </w:t>
            </w:r>
            <w:r w:rsidR="0089242B">
              <w:t>Det</w:t>
            </w:r>
            <w:r w:rsidR="001E75D8">
              <w:t xml:space="preserve"> for</w:t>
            </w:r>
            <w:r w:rsidR="001E75D8">
              <w:t>e</w:t>
            </w:r>
            <w:r w:rsidR="001E75D8">
              <w:t>slås</w:t>
            </w:r>
            <w:r w:rsidR="0089242B">
              <w:t>, at loven opbygges som følger</w:t>
            </w:r>
            <w:r w:rsidR="001E75D8">
              <w:t>:</w:t>
            </w:r>
            <w:r w:rsidR="00412E14">
              <w:t xml:space="preserve"> </w:t>
            </w:r>
          </w:p>
          <w:p w:rsidR="00412E14" w:rsidRDefault="00412E14" w:rsidP="003B3FDE">
            <w:pPr>
              <w:pStyle w:val="Tabel-BrdtekstmedafstandptekstGaramond"/>
            </w:pPr>
          </w:p>
          <w:p w:rsidR="005F3631" w:rsidRDefault="0089242B" w:rsidP="005F3631">
            <w:pPr>
              <w:pStyle w:val="Tabel-BrdtekstmedafstandptekstGaramond"/>
              <w:numPr>
                <w:ilvl w:val="0"/>
                <w:numId w:val="13"/>
              </w:numPr>
            </w:pPr>
            <w:r w:rsidRPr="0089242B">
              <w:t>Overordnet krav til aktivit</w:t>
            </w:r>
            <w:r w:rsidRPr="0089242B">
              <w:t>e</w:t>
            </w:r>
            <w:r w:rsidRPr="0089242B">
              <w:t>terne (der skal være tale om transport af passagerer eller gods mellem forskellige dest</w:t>
            </w:r>
            <w:r w:rsidRPr="0089242B">
              <w:t>i</w:t>
            </w:r>
            <w:r w:rsidRPr="0089242B">
              <w:t>nationer, svarende til den n</w:t>
            </w:r>
            <w:r w:rsidRPr="0089242B">
              <w:t>u</w:t>
            </w:r>
            <w:r w:rsidRPr="0089242B">
              <w:lastRenderedPageBreak/>
              <w:t>værende § 6, stk. 1).</w:t>
            </w:r>
            <w:r>
              <w:t xml:space="preserve"> Kravet</w:t>
            </w:r>
            <w:r w:rsidR="0092752B">
              <w:t xml:space="preserve"> om</w:t>
            </w:r>
            <w:r>
              <w:t xml:space="preserve"> </w:t>
            </w:r>
            <w:r w:rsidRPr="0089242B">
              <w:rPr>
                <w:i/>
                <w:iCs/>
              </w:rPr>
              <w:t xml:space="preserve">”forskellige destinationer” </w:t>
            </w:r>
            <w:r w:rsidRPr="0089242B">
              <w:rPr>
                <w:iCs/>
              </w:rPr>
              <w:t xml:space="preserve">bør ændres til </w:t>
            </w:r>
            <w:r w:rsidRPr="0089242B">
              <w:rPr>
                <w:i/>
                <w:iCs/>
              </w:rPr>
              <w:t>”til søs”</w:t>
            </w:r>
            <w:r w:rsidRPr="0089242B">
              <w:rPr>
                <w:iCs/>
              </w:rPr>
              <w:t xml:space="preserve">. </w:t>
            </w:r>
          </w:p>
          <w:p w:rsidR="0089242B" w:rsidRPr="0089242B" w:rsidRDefault="0089242B" w:rsidP="0089242B">
            <w:pPr>
              <w:pStyle w:val="Tabel-BrdtekstmedafstandptekstGaramond"/>
            </w:pPr>
          </w:p>
          <w:p w:rsidR="0089242B" w:rsidRDefault="0089242B" w:rsidP="009825FC">
            <w:pPr>
              <w:pStyle w:val="Tabel-BrdtekstmedafstandptekstGaramond"/>
              <w:numPr>
                <w:ilvl w:val="0"/>
                <w:numId w:val="13"/>
              </w:numPr>
            </w:pPr>
            <w:r w:rsidRPr="0089242B">
              <w:t>Definition af begrebet ”dest</w:t>
            </w:r>
            <w:r w:rsidRPr="0089242B">
              <w:t>i</w:t>
            </w:r>
            <w:r w:rsidRPr="0089242B">
              <w:t xml:space="preserve">nationer”. </w:t>
            </w:r>
            <w:r w:rsidR="000E7C32">
              <w:t>Det</w:t>
            </w:r>
            <w:r w:rsidR="00A177D3">
              <w:t xml:space="preserve"> anføre</w:t>
            </w:r>
            <w:r w:rsidR="000E7C32">
              <w:t>s</w:t>
            </w:r>
            <w:r w:rsidR="00A177D3">
              <w:t xml:space="preserve"> i den forbindelse, at det</w:t>
            </w:r>
            <w:r w:rsidR="0003691E">
              <w:t xml:space="preserve"> </w:t>
            </w:r>
            <w:r w:rsidR="00A177D3">
              <w:t>er en in</w:t>
            </w:r>
            <w:r w:rsidR="00A177D3">
              <w:t>d</w:t>
            </w:r>
            <w:r w:rsidR="00A177D3">
              <w:t>skrænkning</w:t>
            </w:r>
            <w:r w:rsidR="00CE769D">
              <w:t xml:space="preserve"> af anvendel</w:t>
            </w:r>
            <w:r w:rsidR="006F405E">
              <w:t>seso</w:t>
            </w:r>
            <w:r w:rsidR="006F405E">
              <w:t>m</w:t>
            </w:r>
            <w:r w:rsidR="006F405E">
              <w:t xml:space="preserve">rådet for </w:t>
            </w:r>
            <w:r w:rsidR="000E7C32">
              <w:t>den gældende b</w:t>
            </w:r>
            <w:r w:rsidR="000E7C32">
              <w:t>e</w:t>
            </w:r>
            <w:r w:rsidR="000E7C32">
              <w:t xml:space="preserve">stemmelse i </w:t>
            </w:r>
            <w:r w:rsidR="006F405E">
              <w:t>ton</w:t>
            </w:r>
            <w:r w:rsidR="00CE769D">
              <w:t>n</w:t>
            </w:r>
            <w:r w:rsidR="006F405E">
              <w:t>a</w:t>
            </w:r>
            <w:r w:rsidR="00CE769D">
              <w:t>geskattel</w:t>
            </w:r>
            <w:r w:rsidR="00CE769D">
              <w:t>o</w:t>
            </w:r>
            <w:r w:rsidR="00CE769D">
              <w:t xml:space="preserve">vens § 6, stk. 1, </w:t>
            </w:r>
            <w:r w:rsidR="000E7C32">
              <w:t>når</w:t>
            </w:r>
            <w:r w:rsidR="00CE769D">
              <w:t xml:space="preserve"> de</w:t>
            </w:r>
            <w:r w:rsidR="000E7C32">
              <w:t>t</w:t>
            </w:r>
            <w:r w:rsidR="00CE769D">
              <w:t xml:space="preserve"> i </w:t>
            </w:r>
            <w:r w:rsidR="00C94FBF">
              <w:t>fo</w:t>
            </w:r>
            <w:r w:rsidR="00C94FBF">
              <w:t>r</w:t>
            </w:r>
            <w:r w:rsidR="00C94FBF">
              <w:t>slaget er anført</w:t>
            </w:r>
            <w:r w:rsidR="006428A2">
              <w:t>: ”</w:t>
            </w:r>
            <w:r w:rsidR="006428A2" w:rsidRPr="00C94FBF">
              <w:rPr>
                <w:i/>
                <w:iCs/>
              </w:rPr>
              <w:t>Med forslaget vil aktiviteter med vagttjeneste eller supplyopgaver kunne omfattes</w:t>
            </w:r>
            <w:r w:rsidR="005F5A39" w:rsidRPr="00C94FBF">
              <w:rPr>
                <w:i/>
                <w:iCs/>
              </w:rPr>
              <w:t xml:space="preserve"> af tonnageskatteordningen, også selv om der er tale om transport af pe</w:t>
            </w:r>
            <w:r w:rsidR="005F5A39" w:rsidRPr="00C94FBF">
              <w:rPr>
                <w:i/>
                <w:iCs/>
              </w:rPr>
              <w:t>r</w:t>
            </w:r>
            <w:r w:rsidR="005F5A39" w:rsidRPr="00C94FBF">
              <w:rPr>
                <w:i/>
                <w:iCs/>
              </w:rPr>
              <w:t xml:space="preserve">soner eller gods mellem forskellige destinationer </w:t>
            </w:r>
            <w:r w:rsidR="005F5A39" w:rsidRPr="00C94FBF">
              <w:rPr>
                <w:i/>
                <w:iCs/>
                <w:u w:val="single"/>
              </w:rPr>
              <w:t>til søs</w:t>
            </w:r>
            <w:r w:rsidR="005F5A39" w:rsidRPr="00C94FBF">
              <w:rPr>
                <w:i/>
                <w:iCs/>
              </w:rPr>
              <w:t>”</w:t>
            </w:r>
            <w:r w:rsidR="00C94FBF">
              <w:t xml:space="preserve">. FSR beder derfor om en </w:t>
            </w:r>
            <w:r w:rsidR="00C94FBF" w:rsidRPr="00C94FBF">
              <w:t>redegøre</w:t>
            </w:r>
            <w:r w:rsidR="00C94FBF">
              <w:t>lse</w:t>
            </w:r>
            <w:r w:rsidR="00C94FBF" w:rsidRPr="00C94FBF">
              <w:t xml:space="preserve"> for, hvorvidt </w:t>
            </w:r>
            <w:r w:rsidR="00C94FBF">
              <w:t xml:space="preserve">tonnageskattelovens </w:t>
            </w:r>
            <w:r w:rsidR="00C94FBF" w:rsidRPr="00C94FBF">
              <w:t>§ 6, stk. 1</w:t>
            </w:r>
            <w:r w:rsidR="00C94FBF">
              <w:t xml:space="preserve">, indebærer, at </w:t>
            </w:r>
            <w:r w:rsidR="00C94FBF" w:rsidRPr="00C94FBF">
              <w:t>tran</w:t>
            </w:r>
            <w:r w:rsidR="00C94FBF" w:rsidRPr="00C94FBF">
              <w:t>s</w:t>
            </w:r>
            <w:r w:rsidR="00C94FBF" w:rsidRPr="00C94FBF">
              <w:t>port mellem to destinationer til søs ikke kan omfattes af l</w:t>
            </w:r>
            <w:r w:rsidR="00C94FBF" w:rsidRPr="00C94FBF">
              <w:t>o</w:t>
            </w:r>
            <w:r w:rsidR="00C94FBF">
              <w:t>ven, når bestemmelsen alene henviser til ”</w:t>
            </w:r>
            <w:r w:rsidR="00C94FBF" w:rsidRPr="00C94FBF">
              <w:rPr>
                <w:i/>
                <w:iCs/>
              </w:rPr>
              <w:t>forskellige destinat</w:t>
            </w:r>
            <w:r w:rsidR="00C94FBF" w:rsidRPr="00C94FBF">
              <w:rPr>
                <w:i/>
                <w:iCs/>
              </w:rPr>
              <w:t>i</w:t>
            </w:r>
            <w:r w:rsidR="00C94FBF" w:rsidRPr="00C94FBF">
              <w:rPr>
                <w:i/>
                <w:iCs/>
              </w:rPr>
              <w:t>oner</w:t>
            </w:r>
            <w:r w:rsidR="00C94FBF">
              <w:t>”.</w:t>
            </w:r>
          </w:p>
          <w:p w:rsidR="0089242B" w:rsidRDefault="0089242B" w:rsidP="009825FC">
            <w:pPr>
              <w:pStyle w:val="Tabel-BrdtekstmedafstandptekstGaramond"/>
              <w:ind w:left="587"/>
            </w:pPr>
          </w:p>
          <w:p w:rsidR="00F85EED" w:rsidRDefault="00782392" w:rsidP="00412E14">
            <w:pPr>
              <w:pStyle w:val="Tabel-BrdtekstmedafstandptekstGaramond"/>
              <w:numPr>
                <w:ilvl w:val="0"/>
                <w:numId w:val="13"/>
              </w:numPr>
            </w:pPr>
            <w:r>
              <w:t>O</w:t>
            </w:r>
            <w:r w:rsidR="004D4441">
              <w:t>plistning af specifikke aktiv</w:t>
            </w:r>
            <w:r w:rsidR="004D4441">
              <w:t>i</w:t>
            </w:r>
            <w:r w:rsidR="004D4441">
              <w:t>teter,</w:t>
            </w:r>
            <w:r w:rsidR="009570F9">
              <w:t xml:space="preserve"> der kan omfattes af l</w:t>
            </w:r>
            <w:r w:rsidR="009570F9">
              <w:t>o</w:t>
            </w:r>
            <w:r w:rsidR="009570F9">
              <w:t xml:space="preserve">ven, selvom der ikke er tale om </w:t>
            </w:r>
            <w:r w:rsidR="006F076C">
              <w:t>transport af passagerer e</w:t>
            </w:r>
            <w:r w:rsidR="006F076C">
              <w:t>l</w:t>
            </w:r>
            <w:r w:rsidR="006F076C">
              <w:t>ler gods</w:t>
            </w:r>
            <w:r w:rsidR="003F5517">
              <w:t xml:space="preserve"> mellem forskellige d</w:t>
            </w:r>
            <w:r w:rsidR="003F5517">
              <w:t>e</w:t>
            </w:r>
            <w:r w:rsidR="003F5517">
              <w:t xml:space="preserve">stinationer. </w:t>
            </w:r>
            <w:r>
              <w:t xml:space="preserve">Det </w:t>
            </w:r>
            <w:r w:rsidR="00706D33">
              <w:t>anføre</w:t>
            </w:r>
            <w:r>
              <w:t xml:space="preserve">s </w:t>
            </w:r>
            <w:r w:rsidR="00706D33">
              <w:t>i den forbindelse, at det bør fremgå udtrykkeligt af loven, om lodsning kan omfattes</w:t>
            </w:r>
            <w:r w:rsidR="00386A3A">
              <w:t xml:space="preserve"> af to</w:t>
            </w:r>
            <w:r w:rsidR="00386A3A">
              <w:t>n</w:t>
            </w:r>
            <w:r w:rsidR="002D5A09">
              <w:t>n</w:t>
            </w:r>
            <w:r w:rsidR="00386A3A">
              <w:t>a</w:t>
            </w:r>
            <w:r w:rsidR="002D5A09">
              <w:t xml:space="preserve">geskatteordningen. </w:t>
            </w:r>
          </w:p>
          <w:p w:rsidR="00E02680" w:rsidRDefault="00E02680" w:rsidP="00E02680">
            <w:pPr>
              <w:pStyle w:val="Tabel-BrdtekstmedafstandptekstGaramond"/>
              <w:ind w:left="0"/>
            </w:pPr>
          </w:p>
          <w:p w:rsidR="005F74DD" w:rsidRDefault="00782392" w:rsidP="00F25AB4">
            <w:pPr>
              <w:pStyle w:val="Tabel-BrdtekstmedafstandptekstGaramond"/>
              <w:numPr>
                <w:ilvl w:val="0"/>
                <w:numId w:val="13"/>
              </w:numPr>
            </w:pPr>
            <w:r>
              <w:t>Op</w:t>
            </w:r>
            <w:r w:rsidR="00594E07">
              <w:t>listning af specifikke aktiv</w:t>
            </w:r>
            <w:r w:rsidR="00594E07">
              <w:t>i</w:t>
            </w:r>
            <w:r w:rsidR="00594E07">
              <w:t xml:space="preserve">teter, </w:t>
            </w:r>
            <w:r>
              <w:t>der</w:t>
            </w:r>
            <w:r w:rsidR="00594E07">
              <w:t xml:space="preserve"> ikke kan omfattes af loven, selvom der er tale om transport af passagerer eller gods mellem forskellige dest</w:t>
            </w:r>
            <w:r w:rsidR="00594E07">
              <w:t>i</w:t>
            </w:r>
            <w:r w:rsidR="00594E07">
              <w:t>nationer</w:t>
            </w:r>
            <w:r w:rsidR="000A52BD">
              <w:t xml:space="preserve">. </w:t>
            </w:r>
          </w:p>
          <w:p w:rsidR="006D047B" w:rsidRDefault="006D047B" w:rsidP="00F25AB4">
            <w:pPr>
              <w:pStyle w:val="Tabel-BrdtekstmedafstandptekstGaramond"/>
              <w:rPr>
                <w:b/>
              </w:rPr>
            </w:pPr>
          </w:p>
          <w:p w:rsidR="005F74DD" w:rsidRPr="006D047B" w:rsidRDefault="006D047B" w:rsidP="00F25AB4">
            <w:pPr>
              <w:pStyle w:val="Tabel-BrdtekstmedafstandptekstGaramond"/>
              <w:rPr>
                <w:b/>
              </w:rPr>
            </w:pPr>
            <w:r w:rsidRPr="006D047B">
              <w:rPr>
                <w:b/>
              </w:rPr>
              <w:t>Bemærkninger til forslagets e</w:t>
            </w:r>
            <w:r w:rsidRPr="006D047B">
              <w:rPr>
                <w:b/>
              </w:rPr>
              <w:t>n</w:t>
            </w:r>
            <w:r w:rsidRPr="006D047B">
              <w:rPr>
                <w:b/>
              </w:rPr>
              <w:t>kelte bestemmelser</w:t>
            </w:r>
          </w:p>
          <w:p w:rsidR="001D30D4" w:rsidRDefault="00965C38" w:rsidP="00F25AB4">
            <w:pPr>
              <w:pStyle w:val="Tabel-BrdtekstmedafstandptekstGaramond"/>
            </w:pPr>
            <w:r>
              <w:t xml:space="preserve">I forhold til forslaget vedrørende aktiviteter med vagttjeneste mener </w:t>
            </w:r>
            <w:r w:rsidR="00632B6B">
              <w:t>FSR</w:t>
            </w:r>
            <w:r>
              <w:t>, at det bør beskrives nærmere,</w:t>
            </w:r>
            <w:r w:rsidR="00750C88">
              <w:t xml:space="preserve"> </w:t>
            </w:r>
            <w:r>
              <w:t>om der</w:t>
            </w:r>
            <w:r w:rsidR="00FC7C83">
              <w:t xml:space="preserve"> </w:t>
            </w:r>
            <w:r w:rsidR="00750C88">
              <w:t xml:space="preserve">er tale om </w:t>
            </w:r>
            <w:r w:rsidR="00F27ABB">
              <w:t>en præcisering eller en udvidelse af</w:t>
            </w:r>
            <w:r w:rsidR="00FC7C83">
              <w:t xml:space="preserve"> tonnageska</w:t>
            </w:r>
            <w:r w:rsidR="00FC7C83">
              <w:t>t</w:t>
            </w:r>
            <w:r w:rsidR="00FC7C83">
              <w:t>te</w:t>
            </w:r>
            <w:r w:rsidR="00F27ABB">
              <w:t>ordningen</w:t>
            </w:r>
            <w:r w:rsidR="00FC7C83">
              <w:t>.</w:t>
            </w:r>
          </w:p>
          <w:p w:rsidR="00D879F8" w:rsidRDefault="00D879F8" w:rsidP="00F25AB4">
            <w:pPr>
              <w:pStyle w:val="Tabel-BrdtekstmedafstandptekstGaramond"/>
            </w:pPr>
          </w:p>
          <w:p w:rsidR="00072DE9" w:rsidRDefault="00E22404" w:rsidP="00FE5D0E">
            <w:pPr>
              <w:pStyle w:val="Tabel-BrdtekstmedafstandptekstGaramond"/>
            </w:pPr>
            <w:r>
              <w:t xml:space="preserve">I </w:t>
            </w:r>
            <w:r w:rsidR="00965C38">
              <w:t>tilknytning</w:t>
            </w:r>
            <w:r>
              <w:t xml:space="preserve"> til </w:t>
            </w:r>
            <w:r w:rsidR="00965C38">
              <w:t>forslaget vedrøre</w:t>
            </w:r>
            <w:r w:rsidR="00965C38">
              <w:t>n</w:t>
            </w:r>
            <w:r w:rsidR="00965C38">
              <w:t xml:space="preserve">de </w:t>
            </w:r>
            <w:r w:rsidR="00DF3DB3">
              <w:t>aktiviteter med opsætning af vindmøller og nedlægning af rør og kabler</w:t>
            </w:r>
            <w:r w:rsidR="00E2597F">
              <w:t xml:space="preserve"> foreslå</w:t>
            </w:r>
            <w:r w:rsidR="00965C38">
              <w:t xml:space="preserve">s det, </w:t>
            </w:r>
            <w:r w:rsidR="00E2597F">
              <w:t xml:space="preserve">at </w:t>
            </w:r>
            <w:r w:rsidR="00965C38">
              <w:t xml:space="preserve">også </w:t>
            </w:r>
            <w:r w:rsidR="006777A3">
              <w:t>akt</w:t>
            </w:r>
            <w:r w:rsidR="006777A3">
              <w:t>i</w:t>
            </w:r>
            <w:r w:rsidR="006777A3">
              <w:t>viteter med opsætning og nedta</w:t>
            </w:r>
            <w:r w:rsidR="006777A3">
              <w:t>g</w:t>
            </w:r>
            <w:r w:rsidR="006777A3">
              <w:t>ning af andre offshore-installationer som f.eks. olieinsta</w:t>
            </w:r>
            <w:r w:rsidR="006777A3">
              <w:t>l</w:t>
            </w:r>
            <w:r w:rsidR="006777A3">
              <w:t xml:space="preserve">lationer og infrastrukturanlæg </w:t>
            </w:r>
            <w:r w:rsidR="00965C38">
              <w:t>(</w:t>
            </w:r>
            <w:r w:rsidR="006777A3">
              <w:t>broer</w:t>
            </w:r>
            <w:r w:rsidR="00965C38">
              <w:t xml:space="preserve">, </w:t>
            </w:r>
            <w:r w:rsidR="006777A3">
              <w:t>tun</w:t>
            </w:r>
            <w:r w:rsidR="00496341">
              <w:t>nell</w:t>
            </w:r>
            <w:r w:rsidR="000A2B94">
              <w:t>er</w:t>
            </w:r>
            <w:r w:rsidR="00965C38">
              <w:t xml:space="preserve"> m.v.)</w:t>
            </w:r>
            <w:r w:rsidR="000A2B94">
              <w:t xml:space="preserve">, </w:t>
            </w:r>
            <w:r w:rsidR="00965C38">
              <w:t>får adgang til tonnageskatteordningen</w:t>
            </w:r>
            <w:r w:rsidR="000A2B94">
              <w:t>.</w:t>
            </w:r>
          </w:p>
          <w:p w:rsidR="00981580" w:rsidRDefault="00981580" w:rsidP="00FE5D0E">
            <w:pPr>
              <w:pStyle w:val="Tabel-BrdtekstmedafstandptekstGaramond"/>
            </w:pPr>
          </w:p>
          <w:p w:rsidR="00B4751D" w:rsidRDefault="00B4751D" w:rsidP="00C853CD">
            <w:pPr>
              <w:pStyle w:val="Tabel-BrdtekstmedafstandptekstGaramond"/>
            </w:pPr>
          </w:p>
          <w:p w:rsidR="00B4751D" w:rsidRDefault="00B4751D" w:rsidP="00C853CD">
            <w:pPr>
              <w:pStyle w:val="Tabel-BrdtekstmedafstandptekstGaramond"/>
            </w:pPr>
          </w:p>
          <w:p w:rsidR="00C1569A" w:rsidRDefault="00C1569A" w:rsidP="00C853CD">
            <w:pPr>
              <w:pStyle w:val="Tabel-BrdtekstmedafstandptekstGaramond"/>
            </w:pPr>
          </w:p>
          <w:p w:rsidR="00C1569A" w:rsidRDefault="00C1569A" w:rsidP="00C853CD">
            <w:pPr>
              <w:pStyle w:val="Tabel-BrdtekstmedafstandptekstGaramond"/>
            </w:pPr>
          </w:p>
          <w:p w:rsidR="00C1569A" w:rsidRDefault="00C1569A" w:rsidP="00C853CD">
            <w:pPr>
              <w:pStyle w:val="Tabel-BrdtekstmedafstandptekstGaramond"/>
            </w:pPr>
          </w:p>
          <w:p w:rsidR="00B4751D" w:rsidRDefault="00B4751D" w:rsidP="00C853CD">
            <w:pPr>
              <w:pStyle w:val="Tabel-BrdtekstmedafstandptekstGaramond"/>
            </w:pPr>
          </w:p>
          <w:p w:rsidR="0050122C" w:rsidRDefault="0050122C" w:rsidP="00C853CD">
            <w:pPr>
              <w:pStyle w:val="Tabel-BrdtekstmedafstandptekstGaramond"/>
            </w:pPr>
          </w:p>
          <w:p w:rsidR="0050122C" w:rsidRDefault="0050122C" w:rsidP="00C853CD">
            <w:pPr>
              <w:pStyle w:val="Tabel-BrdtekstmedafstandptekstGaramond"/>
            </w:pPr>
          </w:p>
          <w:p w:rsidR="0050122C" w:rsidRDefault="0050122C" w:rsidP="00C853CD">
            <w:pPr>
              <w:pStyle w:val="Tabel-BrdtekstmedafstandptekstGaramond"/>
            </w:pPr>
          </w:p>
          <w:p w:rsidR="00C24B43" w:rsidRDefault="007D655D" w:rsidP="00C853CD">
            <w:pPr>
              <w:pStyle w:val="Tabel-BrdtekstmedafstandptekstGaramond"/>
            </w:pPr>
            <w:r>
              <w:t xml:space="preserve">I forhold til aktiviteter med </w:t>
            </w:r>
            <w:r w:rsidR="00EF4A6A">
              <w:t>vagt- og supply</w:t>
            </w:r>
            <w:r w:rsidR="009A48A6">
              <w:t xml:space="preserve">opgaver </w:t>
            </w:r>
            <w:r w:rsidR="00C853CD">
              <w:t>er det ifølge</w:t>
            </w:r>
            <w:r w:rsidR="00C02EC4">
              <w:t xml:space="preserve"> FSR</w:t>
            </w:r>
            <w:r w:rsidR="00C853CD">
              <w:t xml:space="preserve"> </w:t>
            </w:r>
            <w:r w:rsidR="004F33A4">
              <w:t xml:space="preserve">problematisk, hvis det er en </w:t>
            </w:r>
            <w:r w:rsidR="00C57202">
              <w:t>betingelse for at blive omfattet af tonnageskatteordningen</w:t>
            </w:r>
            <w:r w:rsidR="004F33A4">
              <w:t xml:space="preserve">, at der er tale om transport </w:t>
            </w:r>
            <w:r w:rsidR="002B5511">
              <w:t>af personer eller gods</w:t>
            </w:r>
            <w:r w:rsidR="00C57202">
              <w:t xml:space="preserve"> </w:t>
            </w:r>
            <w:r w:rsidR="002B5511">
              <w:t>mellem forskellige destinat</w:t>
            </w:r>
            <w:r w:rsidR="002B5511">
              <w:t>i</w:t>
            </w:r>
            <w:r w:rsidR="002B5511">
              <w:t xml:space="preserve">oner. </w:t>
            </w:r>
            <w:r w:rsidR="00C853CD">
              <w:t>Det anføres i den forbinde</w:t>
            </w:r>
            <w:r w:rsidR="00C853CD">
              <w:t>l</w:t>
            </w:r>
            <w:r w:rsidR="00C853CD">
              <w:t xml:space="preserve">se, at høringsudkastet </w:t>
            </w:r>
            <w:r w:rsidR="00C853CD" w:rsidRPr="00C853CD">
              <w:t xml:space="preserve">rejser tvivl om, hvorvidt </w:t>
            </w:r>
            <w:r w:rsidR="00C853CD">
              <w:t xml:space="preserve">sådanne aktiviteter, der udføres i tilknytning til mobile flydende enheder til søs, </w:t>
            </w:r>
            <w:r w:rsidR="00C853CD" w:rsidRPr="00C853CD">
              <w:t>vil være omfat</w:t>
            </w:r>
            <w:r w:rsidR="00C853CD">
              <w:t>tet af udvidelsen.</w:t>
            </w:r>
          </w:p>
          <w:p w:rsidR="00345C01" w:rsidRDefault="00345C01" w:rsidP="001C1FCE">
            <w:pPr>
              <w:pStyle w:val="Tabel-BrdtekstmedafstandptekstGaramond"/>
            </w:pPr>
          </w:p>
          <w:p w:rsidR="00345C01" w:rsidRDefault="00345C01" w:rsidP="00C23329">
            <w:pPr>
              <w:pStyle w:val="Tabel-BrdtekstmedafstandptekstGaramond"/>
            </w:pPr>
            <w:r>
              <w:lastRenderedPageBreak/>
              <w:t>I forhold til ishåndtering anfører FSR, at de</w:t>
            </w:r>
            <w:r w:rsidR="00C853CD">
              <w:t>t er</w:t>
            </w:r>
            <w:r>
              <w:t xml:space="preserve"> hensigtsmæssigt, at </w:t>
            </w:r>
            <w:r w:rsidR="00DB580B">
              <w:t xml:space="preserve">alle former for aktivitet </w:t>
            </w:r>
            <w:r w:rsidR="00AB598D">
              <w:t>med i</w:t>
            </w:r>
            <w:r w:rsidR="00AB598D">
              <w:t>s</w:t>
            </w:r>
            <w:r w:rsidR="00AB598D">
              <w:t xml:space="preserve">håndtering til søs </w:t>
            </w:r>
            <w:r w:rsidR="00C23329">
              <w:t xml:space="preserve">foreslås </w:t>
            </w:r>
            <w:r w:rsidR="00AB598D">
              <w:t>omfatte</w:t>
            </w:r>
            <w:r w:rsidR="00670766">
              <w:t>t</w:t>
            </w:r>
            <w:r w:rsidR="00DB580B">
              <w:t xml:space="preserve"> af tonnageskatteloven. </w:t>
            </w:r>
          </w:p>
          <w:p w:rsidR="009755AA" w:rsidRDefault="009755AA" w:rsidP="001C1FCE">
            <w:pPr>
              <w:pStyle w:val="Tabel-BrdtekstmedafstandptekstGaramond"/>
            </w:pPr>
          </w:p>
          <w:p w:rsidR="009755AA" w:rsidRDefault="007917A7" w:rsidP="001C1FCE">
            <w:pPr>
              <w:pStyle w:val="Tabel-BrdtekstmedafstandptekstGaramond"/>
            </w:pPr>
            <w:r>
              <w:t xml:space="preserve">I forhold til </w:t>
            </w:r>
            <w:r w:rsidR="00C853CD">
              <w:t>de aktiviteter, der u</w:t>
            </w:r>
            <w:r w:rsidR="00C853CD">
              <w:t>d</w:t>
            </w:r>
            <w:r w:rsidR="00C853CD">
              <w:t xml:space="preserve">føres af </w:t>
            </w:r>
            <w:r w:rsidR="00280500">
              <w:t>ASV’er</w:t>
            </w:r>
            <w:r w:rsidR="00C853CD">
              <w:t>,</w:t>
            </w:r>
            <w:r w:rsidR="00280500">
              <w:t xml:space="preserve"> </w:t>
            </w:r>
            <w:r w:rsidR="00C853CD">
              <w:t>er</w:t>
            </w:r>
            <w:r w:rsidR="00280500">
              <w:t xml:space="preserve"> FSR</w:t>
            </w:r>
            <w:r w:rsidR="00C853CD">
              <w:t xml:space="preserve"> positiv overfor, at aktiviteterne nu foreslås omfattet af</w:t>
            </w:r>
            <w:r w:rsidR="00280500">
              <w:t xml:space="preserve"> tonna</w:t>
            </w:r>
            <w:r w:rsidR="00240F1D">
              <w:t>gesk</w:t>
            </w:r>
            <w:r w:rsidR="005036DB">
              <w:t>att</w:t>
            </w:r>
            <w:r w:rsidR="00280500">
              <w:t>eordni</w:t>
            </w:r>
            <w:r w:rsidR="00280500">
              <w:t>n</w:t>
            </w:r>
            <w:r w:rsidR="00280500">
              <w:t xml:space="preserve">gen. </w:t>
            </w:r>
          </w:p>
          <w:p w:rsidR="00670766" w:rsidRDefault="00670766" w:rsidP="001C1FCE">
            <w:pPr>
              <w:pStyle w:val="Tabel-BrdtekstmedafstandptekstGaramond"/>
            </w:pPr>
          </w:p>
          <w:p w:rsidR="001F22D4" w:rsidRDefault="00A15616" w:rsidP="001C1FCE">
            <w:pPr>
              <w:pStyle w:val="Tabel-BrdtekstmedafstandptekstGaramond"/>
            </w:pPr>
            <w:r w:rsidRPr="00A15616">
              <w:t xml:space="preserve">FSR er derimod kritisk overfor, at </w:t>
            </w:r>
            <w:r>
              <w:t xml:space="preserve">forslaget ikke indebærer en parallel udvidelse af </w:t>
            </w:r>
            <w:r w:rsidRPr="00A15616">
              <w:t>DIS</w:t>
            </w:r>
            <w:r>
              <w:t>-</w:t>
            </w:r>
            <w:r w:rsidRPr="00A15616">
              <w:t>ordningen</w:t>
            </w:r>
            <w:r>
              <w:t>.</w:t>
            </w:r>
            <w:r w:rsidRPr="00A15616">
              <w:t xml:space="preserve"> Red</w:t>
            </w:r>
            <w:r w:rsidRPr="00A15616">
              <w:t>e</w:t>
            </w:r>
            <w:r w:rsidRPr="00A15616">
              <w:t xml:space="preserve">rierne og søfolkene </w:t>
            </w:r>
            <w:r>
              <w:t>i offshore se</w:t>
            </w:r>
            <w:r>
              <w:t>k</w:t>
            </w:r>
            <w:r>
              <w:t xml:space="preserve">toren </w:t>
            </w:r>
            <w:r w:rsidRPr="00A15616">
              <w:t>er underlagt de samme ko</w:t>
            </w:r>
            <w:r w:rsidRPr="00A15616">
              <w:t>n</w:t>
            </w:r>
            <w:r w:rsidRPr="00A15616">
              <w:t>kurrencemæssige og tekniske vilkår som den traditionelle søfart, hvo</w:t>
            </w:r>
            <w:r w:rsidRPr="00A15616">
              <w:t>r</w:t>
            </w:r>
            <w:r w:rsidRPr="00A15616">
              <w:t>for det synes uhensigtsmæssigt i</w:t>
            </w:r>
            <w:r w:rsidRPr="00A15616">
              <w:t>k</w:t>
            </w:r>
            <w:r w:rsidRPr="00A15616">
              <w:t>ke at tillade DIS ordningen også for disse skibs/service typer.</w:t>
            </w:r>
            <w:r>
              <w:t xml:space="preserve"> Det anføres i den forbindelse, at </w:t>
            </w:r>
            <w:r w:rsidRPr="00A15616">
              <w:t>amb</w:t>
            </w:r>
            <w:r w:rsidRPr="00A15616">
              <w:t>i</w:t>
            </w:r>
            <w:r w:rsidRPr="00A15616">
              <w:t xml:space="preserve">tionerne i </w:t>
            </w:r>
            <w:r>
              <w:t xml:space="preserve">regeringens </w:t>
            </w:r>
            <w:r w:rsidRPr="00A15616">
              <w:rPr>
                <w:i/>
              </w:rPr>
              <w:t>Vækstplan for det Blå Danmark</w:t>
            </w:r>
            <w:r w:rsidRPr="00A15616">
              <w:t xml:space="preserve"> fra december 2012 om at gøre Danmark til det mar</w:t>
            </w:r>
            <w:r w:rsidRPr="00A15616">
              <w:t>i</w:t>
            </w:r>
            <w:r w:rsidRPr="00A15616">
              <w:t>time centrum i Europa forudsæ</w:t>
            </w:r>
            <w:r w:rsidRPr="00A15616">
              <w:t>t</w:t>
            </w:r>
            <w:r w:rsidRPr="00A15616">
              <w:t xml:space="preserve">ter, at rederierne sikres </w:t>
            </w:r>
            <w:r>
              <w:t xml:space="preserve">et </w:t>
            </w:r>
            <w:r w:rsidRPr="00A15616">
              <w:t>så lavt omkostningsniveau som muligt.</w:t>
            </w:r>
          </w:p>
          <w:p w:rsidR="00A15616" w:rsidRDefault="00A15616" w:rsidP="001C1FCE">
            <w:pPr>
              <w:pStyle w:val="Tabel-BrdtekstmedafstandptekstGaramond"/>
            </w:pPr>
          </w:p>
          <w:p w:rsidR="00240F1D" w:rsidRPr="00844EDE" w:rsidRDefault="001F22D4" w:rsidP="00C66755">
            <w:pPr>
              <w:pStyle w:val="Tabel-BrdtekstmedafstandptekstGaramond"/>
            </w:pPr>
            <w:r>
              <w:t>FSR</w:t>
            </w:r>
            <w:r w:rsidR="00BC70CC">
              <w:t xml:space="preserve"> anfører til afslutning</w:t>
            </w:r>
            <w:r>
              <w:t>, at Ska</w:t>
            </w:r>
            <w:r>
              <w:t>t</w:t>
            </w:r>
            <w:r>
              <w:t xml:space="preserve">teministeriet efter </w:t>
            </w:r>
            <w:r w:rsidR="005625A2">
              <w:t>foreningens</w:t>
            </w:r>
            <w:r>
              <w:t xml:space="preserve"> o</w:t>
            </w:r>
            <w:r>
              <w:t>p</w:t>
            </w:r>
            <w:r>
              <w:t xml:space="preserve">fattelse giver udtryk for en anden opfattelse af </w:t>
            </w:r>
            <w:r w:rsidR="00C66755">
              <w:t>definitionen af</w:t>
            </w:r>
            <w:r w:rsidR="0024068D">
              <w:t xml:space="preserve"> </w:t>
            </w:r>
            <w:r w:rsidR="005D6F88">
              <w:t>”</w:t>
            </w:r>
            <w:r w:rsidR="00102E78">
              <w:t>s</w:t>
            </w:r>
            <w:r w:rsidR="00102E78">
              <w:t>ø</w:t>
            </w:r>
            <w:r w:rsidR="0024068D">
              <w:t xml:space="preserve">transport af passagerer og gods </w:t>
            </w:r>
            <w:r w:rsidR="00102E78">
              <w:t xml:space="preserve">mellem forskelige destinationer” </w:t>
            </w:r>
            <w:r w:rsidR="00731FB8">
              <w:t>end den definition, som gælder e</w:t>
            </w:r>
            <w:r w:rsidR="00731FB8">
              <w:t>f</w:t>
            </w:r>
            <w:r w:rsidR="00731FB8">
              <w:t xml:space="preserve">ter </w:t>
            </w:r>
            <w:r w:rsidR="005625A2">
              <w:t xml:space="preserve">EU’s </w:t>
            </w:r>
            <w:r w:rsidR="00731FB8">
              <w:t>retningslin</w:t>
            </w:r>
            <w:r w:rsidR="005625A2">
              <w:t>jer for stat</w:t>
            </w:r>
            <w:r w:rsidR="005625A2">
              <w:t>s</w:t>
            </w:r>
            <w:r w:rsidR="005625A2">
              <w:t>støtte til søtransportsektoren</w:t>
            </w:r>
            <w:r w:rsidR="00731FB8">
              <w:t xml:space="preserve">. </w:t>
            </w:r>
          </w:p>
        </w:tc>
        <w:tc>
          <w:tcPr>
            <w:tcW w:w="230" w:type="dxa"/>
            <w:shd w:val="clear" w:color="auto" w:fill="FFFFFF" w:themeFill="background1"/>
          </w:tcPr>
          <w:p w:rsidR="002A4131" w:rsidRPr="00B5346F" w:rsidRDefault="002A4131" w:rsidP="00712257"/>
        </w:tc>
        <w:tc>
          <w:tcPr>
            <w:tcW w:w="3443" w:type="dxa"/>
            <w:tcBorders>
              <w:bottom w:val="single" w:sz="4" w:space="0" w:color="14143C" w:themeColor="accent1"/>
            </w:tcBorders>
            <w:shd w:val="clear" w:color="auto" w:fill="D2CED8"/>
          </w:tcPr>
          <w:p w:rsidR="002A4131" w:rsidRDefault="002A4131" w:rsidP="00712257">
            <w:pPr>
              <w:pStyle w:val="Tabel-BrdtekstmedafstandptekstGaramond"/>
            </w:pPr>
          </w:p>
          <w:p w:rsidR="006D047B" w:rsidRDefault="006D047B" w:rsidP="00712257">
            <w:pPr>
              <w:pStyle w:val="Tabel-BrdtekstmedafstandptekstGaramond"/>
            </w:pPr>
          </w:p>
          <w:p w:rsidR="009D651B" w:rsidRDefault="009D651B" w:rsidP="00712257">
            <w:pPr>
              <w:pStyle w:val="Tabel-BrdtekstmedafstandptekstGaramond"/>
            </w:pPr>
          </w:p>
          <w:p w:rsidR="009D651B" w:rsidRDefault="009D651B" w:rsidP="00712257">
            <w:pPr>
              <w:pStyle w:val="Tabel-BrdtekstmedafstandptekstGaramond"/>
            </w:pPr>
          </w:p>
          <w:p w:rsidR="009D651B" w:rsidRDefault="009D651B" w:rsidP="00712257">
            <w:pPr>
              <w:pStyle w:val="Tabel-BrdtekstmedafstandptekstGaramond"/>
            </w:pPr>
          </w:p>
          <w:p w:rsidR="009D651B" w:rsidRDefault="009D651B" w:rsidP="00712257">
            <w:pPr>
              <w:pStyle w:val="Tabel-BrdtekstmedafstandptekstGaramond"/>
            </w:pPr>
          </w:p>
          <w:p w:rsidR="009D651B" w:rsidRDefault="009D651B" w:rsidP="00712257">
            <w:pPr>
              <w:pStyle w:val="Tabel-BrdtekstmedafstandptekstGaramond"/>
            </w:pPr>
          </w:p>
          <w:p w:rsidR="00F70313" w:rsidRDefault="00F70313" w:rsidP="0030630C">
            <w:pPr>
              <w:pStyle w:val="Tabel-BrdtekstmedafstandptekstGaramond"/>
              <w:rPr>
                <w:szCs w:val="22"/>
              </w:rPr>
            </w:pPr>
          </w:p>
          <w:p w:rsidR="00F70313" w:rsidRDefault="00F70313" w:rsidP="0030630C">
            <w:pPr>
              <w:pStyle w:val="Tabel-BrdtekstmedafstandptekstGaramond"/>
              <w:rPr>
                <w:szCs w:val="22"/>
              </w:rPr>
            </w:pPr>
          </w:p>
          <w:p w:rsidR="00F70313" w:rsidRDefault="00F70313" w:rsidP="0030630C">
            <w:pPr>
              <w:pStyle w:val="Tabel-BrdtekstmedafstandptekstGaramond"/>
              <w:rPr>
                <w:szCs w:val="22"/>
              </w:rPr>
            </w:pPr>
          </w:p>
          <w:p w:rsidR="00C1044D" w:rsidRDefault="008E6802" w:rsidP="0030630C">
            <w:pPr>
              <w:pStyle w:val="Tabel-BrdtekstmedafstandptekstGaramond"/>
              <w:rPr>
                <w:szCs w:val="22"/>
              </w:rPr>
            </w:pPr>
            <w:r>
              <w:rPr>
                <w:szCs w:val="22"/>
              </w:rPr>
              <w:t>Det bemærkes indledningsvist, at lovf</w:t>
            </w:r>
            <w:r w:rsidR="00C1044D" w:rsidRPr="00C1107D">
              <w:rPr>
                <w:szCs w:val="22"/>
              </w:rPr>
              <w:t xml:space="preserve">orslaget </w:t>
            </w:r>
            <w:r w:rsidR="002B4F45">
              <w:rPr>
                <w:szCs w:val="22"/>
              </w:rPr>
              <w:t xml:space="preserve">udmønter </w:t>
            </w:r>
            <w:r w:rsidR="002B4F45" w:rsidRPr="002B4F45">
              <w:rPr>
                <w:i/>
                <w:szCs w:val="22"/>
              </w:rPr>
              <w:t>Aftale om en vækstpakke</w:t>
            </w:r>
            <w:r w:rsidR="00CF17CA">
              <w:rPr>
                <w:szCs w:val="22"/>
              </w:rPr>
              <w:t xml:space="preserve"> fra juni 2014.</w:t>
            </w:r>
            <w:r>
              <w:rPr>
                <w:szCs w:val="22"/>
              </w:rPr>
              <w:t xml:space="preserve"> </w:t>
            </w:r>
            <w:r w:rsidR="00CF17CA">
              <w:rPr>
                <w:szCs w:val="22"/>
              </w:rPr>
              <w:t>Det in</w:t>
            </w:r>
            <w:r w:rsidR="00CF17CA">
              <w:rPr>
                <w:szCs w:val="22"/>
              </w:rPr>
              <w:t>d</w:t>
            </w:r>
            <w:r w:rsidR="00CF17CA">
              <w:rPr>
                <w:szCs w:val="22"/>
              </w:rPr>
              <w:t>går ikke i aftalen, at der skal ske en gennemgribende revision af de gældende regler i tonnageskattel</w:t>
            </w:r>
            <w:r w:rsidR="00CF17CA">
              <w:rPr>
                <w:szCs w:val="22"/>
              </w:rPr>
              <w:t>o</w:t>
            </w:r>
            <w:r w:rsidR="00CF17CA">
              <w:rPr>
                <w:szCs w:val="22"/>
              </w:rPr>
              <w:t>ven.</w:t>
            </w:r>
          </w:p>
          <w:p w:rsidR="006D047B" w:rsidRDefault="006D047B" w:rsidP="0030630C">
            <w:pPr>
              <w:pStyle w:val="Tabel-BrdtekstmedafstandptekstGaramond"/>
              <w:rPr>
                <w:szCs w:val="22"/>
              </w:rPr>
            </w:pPr>
          </w:p>
          <w:p w:rsidR="00E672E6" w:rsidRDefault="00E672E6" w:rsidP="006D047B">
            <w:pPr>
              <w:pStyle w:val="Tabel-BrdtekstmedafstandptekstGaramond"/>
            </w:pPr>
          </w:p>
          <w:p w:rsidR="00E672E6" w:rsidRDefault="00E672E6" w:rsidP="006D047B">
            <w:pPr>
              <w:pStyle w:val="Tabel-BrdtekstmedafstandptekstGaramond"/>
            </w:pPr>
          </w:p>
          <w:p w:rsidR="00E672E6" w:rsidRDefault="00E672E6" w:rsidP="006D047B">
            <w:pPr>
              <w:pStyle w:val="Tabel-BrdtekstmedafstandptekstGaramond"/>
            </w:pPr>
          </w:p>
          <w:p w:rsidR="006D047B" w:rsidRDefault="006D047B" w:rsidP="006D047B">
            <w:pPr>
              <w:pStyle w:val="Tabel-BrdtekstmedafstandptekstGaramond"/>
            </w:pPr>
            <w:r>
              <w:t>Det bemærkes dernæst, at u</w:t>
            </w:r>
            <w:r>
              <w:t>d</w:t>
            </w:r>
            <w:r>
              <w:t>formningen af udvidelsen er æ</w:t>
            </w:r>
            <w:r>
              <w:t>n</w:t>
            </w:r>
            <w:r>
              <w:t>dret i lovforslaget som fremsat i forhold til høringsudkastet. I st</w:t>
            </w:r>
            <w:r>
              <w:t>e</w:t>
            </w:r>
            <w:r>
              <w:t>det for at udvidelsen gennemføres ved en ændring af tonnageskatt</w:t>
            </w:r>
            <w:r>
              <w:t>e</w:t>
            </w:r>
            <w:r>
              <w:t>lovens § 8, er de aktiviteter, som tonnageskatteordningen udvides med, nu opregnet i en ny § 8 a.</w:t>
            </w:r>
          </w:p>
          <w:p w:rsidR="006D047B" w:rsidRDefault="006D047B" w:rsidP="006D047B">
            <w:pPr>
              <w:pStyle w:val="Tabel-BrdtekstmedafstandptekstGaramond"/>
            </w:pPr>
          </w:p>
          <w:p w:rsidR="006D047B" w:rsidRDefault="006D047B" w:rsidP="006D047B">
            <w:pPr>
              <w:pStyle w:val="Tabel-BrdtekstmedafstandptekstGaramond"/>
              <w:rPr>
                <w:szCs w:val="22"/>
              </w:rPr>
            </w:pPr>
            <w:r w:rsidRPr="00C85EE0">
              <w:t>De pågældende aktiviteter vil med forslaget blive omfattet af tonn</w:t>
            </w:r>
            <w:r w:rsidRPr="00C85EE0">
              <w:t>a</w:t>
            </w:r>
            <w:r w:rsidRPr="00C85EE0">
              <w:t>geskatteordningen, uden at det er en betingelse herfor, at der er tale om transport af passagerer eller gods, og uden at det er en beti</w:t>
            </w:r>
            <w:r w:rsidRPr="00C85EE0">
              <w:t>n</w:t>
            </w:r>
            <w:r w:rsidRPr="00C85EE0">
              <w:t>gelse, at aktiviteterne udøves me</w:t>
            </w:r>
            <w:r w:rsidRPr="00C85EE0">
              <w:t>l</w:t>
            </w:r>
            <w:r w:rsidRPr="00C85EE0">
              <w:t>lem forskellige destinationer, som det i dag kræves efter tonnageska</w:t>
            </w:r>
            <w:r w:rsidRPr="00C85EE0">
              <w:t>t</w:t>
            </w:r>
            <w:r w:rsidRPr="00C85EE0">
              <w:t>telo</w:t>
            </w:r>
            <w:r>
              <w:t>vens § 6.</w:t>
            </w:r>
          </w:p>
          <w:p w:rsidR="006D047B" w:rsidRDefault="006D047B" w:rsidP="0030630C">
            <w:pPr>
              <w:pStyle w:val="Tabel-BrdtekstmedafstandptekstGaramond"/>
              <w:rPr>
                <w:szCs w:val="22"/>
              </w:rPr>
            </w:pPr>
          </w:p>
          <w:p w:rsidR="00027617" w:rsidRDefault="00E672E6" w:rsidP="0030630C">
            <w:pPr>
              <w:pStyle w:val="Tabel-BrdtekstmedafstandptekstGaramond"/>
              <w:rPr>
                <w:szCs w:val="22"/>
              </w:rPr>
            </w:pPr>
            <w:r w:rsidRPr="00E672E6">
              <w:rPr>
                <w:szCs w:val="22"/>
              </w:rPr>
              <w:t xml:space="preserve">Med </w:t>
            </w:r>
            <w:r>
              <w:rPr>
                <w:szCs w:val="22"/>
              </w:rPr>
              <w:t>den foreslåede udformning, hvor de aktiviteter, som tonnag</w:t>
            </w:r>
            <w:r>
              <w:rPr>
                <w:szCs w:val="22"/>
              </w:rPr>
              <w:t>e</w:t>
            </w:r>
            <w:r>
              <w:rPr>
                <w:szCs w:val="22"/>
              </w:rPr>
              <w:t>skatteordningen udvides med, er opregnet i den nye bestemmelse i § 8 a, vil tonnageskattelovens o</w:t>
            </w:r>
            <w:r>
              <w:rPr>
                <w:szCs w:val="22"/>
              </w:rPr>
              <w:t>p</w:t>
            </w:r>
            <w:r>
              <w:rPr>
                <w:szCs w:val="22"/>
              </w:rPr>
              <w:t xml:space="preserve">bygning i store træk svare til den opbygning, som FSR foreslår. </w:t>
            </w:r>
          </w:p>
          <w:p w:rsidR="00027617" w:rsidRDefault="00027617" w:rsidP="0030630C">
            <w:pPr>
              <w:pStyle w:val="Tabel-BrdtekstmedafstandptekstGaramond"/>
              <w:rPr>
                <w:szCs w:val="22"/>
              </w:rPr>
            </w:pPr>
          </w:p>
          <w:p w:rsidR="006D047B" w:rsidRDefault="00027617" w:rsidP="0030630C">
            <w:pPr>
              <w:pStyle w:val="Tabel-BrdtekstmedafstandptekstGaramond"/>
              <w:rPr>
                <w:szCs w:val="22"/>
              </w:rPr>
            </w:pPr>
            <w:r>
              <w:rPr>
                <w:szCs w:val="22"/>
              </w:rPr>
              <w:t>Som det er beskrevet i komment</w:t>
            </w:r>
            <w:r>
              <w:rPr>
                <w:szCs w:val="22"/>
              </w:rPr>
              <w:t>a</w:t>
            </w:r>
            <w:r>
              <w:rPr>
                <w:szCs w:val="22"/>
              </w:rPr>
              <w:t xml:space="preserve">ren til Danmarks Rederiforening indgår det </w:t>
            </w:r>
            <w:r w:rsidR="00B4751D">
              <w:rPr>
                <w:szCs w:val="22"/>
              </w:rPr>
              <w:t xml:space="preserve">dog </w:t>
            </w:r>
            <w:r>
              <w:rPr>
                <w:szCs w:val="22"/>
              </w:rPr>
              <w:t xml:space="preserve">ikke i lovforslaget </w:t>
            </w:r>
            <w:r>
              <w:rPr>
                <w:szCs w:val="22"/>
              </w:rPr>
              <w:lastRenderedPageBreak/>
              <w:t xml:space="preserve">at </w:t>
            </w:r>
            <w:r>
              <w:t>foretage en præcisering af dest</w:t>
            </w:r>
            <w:r>
              <w:t>i</w:t>
            </w:r>
            <w:r>
              <w:t>nationsbegrebet.</w:t>
            </w:r>
          </w:p>
          <w:p w:rsidR="00E672E6" w:rsidRDefault="00E672E6" w:rsidP="0030630C">
            <w:pPr>
              <w:pStyle w:val="Tabel-BrdtekstmedafstandptekstGaramond"/>
              <w:rPr>
                <w:szCs w:val="22"/>
              </w:rPr>
            </w:pPr>
          </w:p>
          <w:p w:rsidR="00E672E6" w:rsidRDefault="00E672E6" w:rsidP="0030630C">
            <w:pPr>
              <w:pStyle w:val="Tabel-BrdtekstmedafstandptekstGaramond"/>
              <w:rPr>
                <w:szCs w:val="22"/>
              </w:rPr>
            </w:pPr>
          </w:p>
          <w:p w:rsidR="00E672E6" w:rsidRDefault="00E672E6" w:rsidP="0030630C">
            <w:pPr>
              <w:pStyle w:val="Tabel-BrdtekstmedafstandptekstGaramond"/>
              <w:rPr>
                <w:szCs w:val="22"/>
              </w:rPr>
            </w:pPr>
          </w:p>
          <w:p w:rsidR="00E672E6" w:rsidRDefault="00E672E6" w:rsidP="0030630C">
            <w:pPr>
              <w:pStyle w:val="Tabel-BrdtekstmedafstandptekstGaramond"/>
              <w:rPr>
                <w:szCs w:val="22"/>
              </w:rPr>
            </w:pPr>
          </w:p>
          <w:p w:rsidR="00886D54" w:rsidRDefault="00886D54"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9825FC" w:rsidRDefault="009825FC"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A375D5" w:rsidRDefault="00A375D5" w:rsidP="00712257">
            <w:pPr>
              <w:pStyle w:val="Tabel-BrdtekstmedafstandptekstGaramond"/>
            </w:pPr>
          </w:p>
          <w:p w:rsidR="00EC6CC9" w:rsidRDefault="00145FB8" w:rsidP="00F176B7">
            <w:pPr>
              <w:pStyle w:val="Tabel-BrdtekstmedafstandptekstGaramond"/>
            </w:pPr>
            <w:r>
              <w:t xml:space="preserve"> </w:t>
            </w: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B4751D" w:rsidRDefault="00B4751D" w:rsidP="00F176B7">
            <w:pPr>
              <w:pStyle w:val="Tabel-BrdtekstmedafstandptekstGaramond"/>
            </w:pPr>
          </w:p>
          <w:p w:rsidR="00A375D5" w:rsidRDefault="00A375D5" w:rsidP="00712257">
            <w:pPr>
              <w:pStyle w:val="Tabel-BrdtekstmedafstandptekstGaramond"/>
            </w:pPr>
          </w:p>
          <w:p w:rsidR="00610140" w:rsidRDefault="002075C5" w:rsidP="00F101DE">
            <w:pPr>
              <w:pStyle w:val="Tabel-BrdtekstmedafstandptekstGaramond"/>
            </w:pPr>
            <w:r>
              <w:t xml:space="preserve">Der henvises til </w:t>
            </w:r>
            <w:r w:rsidR="00B4751D">
              <w:t>kommentarerne</w:t>
            </w:r>
            <w:r w:rsidR="00610140">
              <w:t xml:space="preserve"> </w:t>
            </w:r>
            <w:r>
              <w:t xml:space="preserve">til </w:t>
            </w:r>
            <w:r w:rsidR="00B4751D">
              <w:t xml:space="preserve">Danmarks Rederiforening og </w:t>
            </w:r>
            <w:r>
              <w:t xml:space="preserve">Esvagt. </w:t>
            </w:r>
          </w:p>
          <w:p w:rsidR="00610140" w:rsidRDefault="00610140" w:rsidP="00B061F1">
            <w:pPr>
              <w:pStyle w:val="Tabel-BrdtekstmedafstandptekstGaramond"/>
            </w:pPr>
          </w:p>
          <w:p w:rsidR="00B4751D" w:rsidRDefault="00B4751D" w:rsidP="00FE5D0E">
            <w:pPr>
              <w:pStyle w:val="Tabel-BrdtekstmedafstandptekstGaramond"/>
            </w:pPr>
          </w:p>
          <w:p w:rsidR="00B4751D" w:rsidRDefault="00B4751D" w:rsidP="00FE5D0E">
            <w:pPr>
              <w:pStyle w:val="Tabel-BrdtekstmedafstandptekstGaramond"/>
            </w:pPr>
          </w:p>
          <w:p w:rsidR="00B4751D" w:rsidRDefault="00B4751D" w:rsidP="00FE5D0E">
            <w:pPr>
              <w:pStyle w:val="Tabel-BrdtekstmedafstandptekstGaramond"/>
            </w:pPr>
          </w:p>
          <w:p w:rsidR="00B4751D" w:rsidRDefault="00B4751D" w:rsidP="00FE5D0E">
            <w:pPr>
              <w:pStyle w:val="Tabel-BrdtekstmedafstandptekstGaramond"/>
              <w:rPr>
                <w:szCs w:val="22"/>
              </w:rPr>
            </w:pPr>
            <w:r>
              <w:rPr>
                <w:szCs w:val="22"/>
              </w:rPr>
              <w:t>I lovforslaget som fremsat er akt</w:t>
            </w:r>
            <w:r>
              <w:rPr>
                <w:szCs w:val="22"/>
              </w:rPr>
              <w:t>i</w:t>
            </w:r>
            <w:r>
              <w:rPr>
                <w:szCs w:val="22"/>
              </w:rPr>
              <w:t>vitet med bygning, reparation og nedtagning af vindmølleparker e</w:t>
            </w:r>
            <w:r>
              <w:rPr>
                <w:szCs w:val="22"/>
              </w:rPr>
              <w:t>l</w:t>
            </w:r>
            <w:r>
              <w:rPr>
                <w:szCs w:val="22"/>
              </w:rPr>
              <w:t>ler andre havanlæg til søs, samt nedlægning, inspektion og repar</w:t>
            </w:r>
            <w:r>
              <w:rPr>
                <w:szCs w:val="22"/>
              </w:rPr>
              <w:t>a</w:t>
            </w:r>
            <w:r>
              <w:rPr>
                <w:szCs w:val="22"/>
              </w:rPr>
              <w:t>tion af rørledninger eller kabler på havbunden omfattet af tonnag</w:t>
            </w:r>
            <w:r>
              <w:rPr>
                <w:szCs w:val="22"/>
              </w:rPr>
              <w:t>e</w:t>
            </w:r>
            <w:r>
              <w:rPr>
                <w:szCs w:val="22"/>
              </w:rPr>
              <w:t>skatteordningen. Der henvises til § 8 a, nr. 3 og bemærkningerne he</w:t>
            </w:r>
            <w:r>
              <w:rPr>
                <w:szCs w:val="22"/>
              </w:rPr>
              <w:t>r</w:t>
            </w:r>
            <w:r>
              <w:rPr>
                <w:szCs w:val="22"/>
              </w:rPr>
              <w:t>til.</w:t>
            </w:r>
          </w:p>
          <w:p w:rsidR="00B4751D" w:rsidRDefault="00B4751D" w:rsidP="00FE5D0E">
            <w:pPr>
              <w:pStyle w:val="Tabel-BrdtekstmedafstandptekstGaramond"/>
              <w:rPr>
                <w:szCs w:val="22"/>
              </w:rPr>
            </w:pPr>
          </w:p>
          <w:p w:rsidR="00B4751D" w:rsidRDefault="00B4751D" w:rsidP="00FE5D0E">
            <w:pPr>
              <w:pStyle w:val="Tabel-BrdtekstmedafstandptekstGaramond"/>
            </w:pPr>
            <w:r>
              <w:rPr>
                <w:szCs w:val="22"/>
              </w:rPr>
              <w:t>Det indgår ikke i lovforslaget, at tonnageskatteordningen skal udv</w:t>
            </w:r>
            <w:r>
              <w:rPr>
                <w:szCs w:val="22"/>
              </w:rPr>
              <w:t>i</w:t>
            </w:r>
            <w:r>
              <w:rPr>
                <w:szCs w:val="22"/>
              </w:rPr>
              <w:t>des med aktiviteter</w:t>
            </w:r>
            <w:r w:rsidR="00C1569A">
              <w:rPr>
                <w:szCs w:val="22"/>
              </w:rPr>
              <w:t xml:space="preserve"> med konstru</w:t>
            </w:r>
            <w:r w:rsidR="00C1569A">
              <w:rPr>
                <w:szCs w:val="22"/>
              </w:rPr>
              <w:t>k</w:t>
            </w:r>
            <w:r w:rsidR="00C1569A">
              <w:rPr>
                <w:szCs w:val="22"/>
              </w:rPr>
              <w:t xml:space="preserve">tion af </w:t>
            </w:r>
            <w:r w:rsidR="00C1569A">
              <w:t>olieinstallationer og infr</w:t>
            </w:r>
            <w:r w:rsidR="00C1569A">
              <w:t>a</w:t>
            </w:r>
            <w:r w:rsidR="00C1569A">
              <w:t>strukturanlæg.</w:t>
            </w:r>
          </w:p>
          <w:p w:rsidR="00B4751D" w:rsidRDefault="00B4751D" w:rsidP="00FE5D0E">
            <w:pPr>
              <w:pStyle w:val="Tabel-BrdtekstmedafstandptekstGaramond"/>
            </w:pPr>
          </w:p>
          <w:p w:rsidR="00FE5D0E" w:rsidRDefault="00FE5D0E" w:rsidP="00FE5D0E">
            <w:pPr>
              <w:pStyle w:val="Tabel-BrdtekstmedafstandptekstGaramond"/>
            </w:pPr>
            <w:r>
              <w:t>Der henvises til kommentaren til Danmarks R</w:t>
            </w:r>
            <w:r w:rsidR="00F43A15">
              <w:t>ederiforening.</w:t>
            </w:r>
          </w:p>
          <w:p w:rsidR="00610140" w:rsidRDefault="00610140" w:rsidP="00B061F1">
            <w:pPr>
              <w:pStyle w:val="Tabel-BrdtekstmedafstandptekstGaramond"/>
            </w:pPr>
          </w:p>
          <w:p w:rsidR="000F3271" w:rsidRDefault="00613243" w:rsidP="00613243">
            <w:pPr>
              <w:pStyle w:val="Tabel-BrdtekstmedafstandptekstGaramond"/>
            </w:pPr>
            <w:r>
              <w:t xml:space="preserve">Som </w:t>
            </w:r>
            <w:r w:rsidR="00802D5A">
              <w:t xml:space="preserve">ovenfor </w:t>
            </w:r>
            <w:r>
              <w:t>nævnt er det præc</w:t>
            </w:r>
            <w:r>
              <w:t>i</w:t>
            </w:r>
            <w:r>
              <w:t>seret i bemærkningerne til lo</w:t>
            </w:r>
            <w:r>
              <w:t>v</w:t>
            </w:r>
            <w:r>
              <w:t xml:space="preserve">forslaget, at </w:t>
            </w:r>
            <w:r w:rsidR="00BC70CC">
              <w:t>hverken</w:t>
            </w:r>
            <w:r>
              <w:t xml:space="preserve"> transportkr</w:t>
            </w:r>
            <w:r>
              <w:t>a</w:t>
            </w:r>
            <w:r>
              <w:t xml:space="preserve">vet </w:t>
            </w:r>
            <w:r w:rsidR="00BC70CC">
              <w:t>eller</w:t>
            </w:r>
            <w:r>
              <w:t xml:space="preserve"> destinationskravet i to</w:t>
            </w:r>
            <w:r>
              <w:t>n</w:t>
            </w:r>
            <w:r>
              <w:t>nageskattelovens § 6 gælder for de aktiviteter, som ordningen foreslås udvidet med.</w:t>
            </w:r>
            <w:r w:rsidR="0031619D">
              <w:t xml:space="preserve"> Der henvises i øvrigt til kommentaren til Danmarks R</w:t>
            </w:r>
            <w:r w:rsidR="0031619D">
              <w:t>e</w:t>
            </w:r>
            <w:r w:rsidR="0031619D">
              <w:t xml:space="preserve">deriforening. </w:t>
            </w:r>
          </w:p>
          <w:p w:rsidR="00EB5CF2" w:rsidRDefault="00EB5CF2" w:rsidP="00613243">
            <w:pPr>
              <w:pStyle w:val="Tabel-BrdtekstmedafstandptekstGaramond"/>
            </w:pPr>
          </w:p>
          <w:p w:rsidR="00EB5CF2" w:rsidRDefault="00EB5CF2" w:rsidP="00613243">
            <w:pPr>
              <w:pStyle w:val="Tabel-BrdtekstmedafstandptekstGaramond"/>
            </w:pPr>
          </w:p>
          <w:p w:rsidR="00EB5CF2" w:rsidRDefault="00EB5CF2" w:rsidP="00613243">
            <w:pPr>
              <w:pStyle w:val="Tabel-BrdtekstmedafstandptekstGaramond"/>
            </w:pPr>
          </w:p>
          <w:p w:rsidR="00EB5CF2" w:rsidRDefault="00EB5CF2" w:rsidP="00613243">
            <w:pPr>
              <w:pStyle w:val="Tabel-BrdtekstmedafstandptekstGaramond"/>
            </w:pPr>
          </w:p>
          <w:p w:rsidR="00EB5CF2" w:rsidRDefault="00EB5CF2" w:rsidP="00613243">
            <w:pPr>
              <w:pStyle w:val="Tabel-BrdtekstmedafstandptekstGaramond"/>
            </w:pPr>
          </w:p>
          <w:p w:rsidR="00C91B20" w:rsidRDefault="00C91B20" w:rsidP="00C91B20">
            <w:pPr>
              <w:pStyle w:val="Tabel-BrdtekstmedafstandptekstGaramond"/>
            </w:pPr>
            <w:r>
              <w:lastRenderedPageBreak/>
              <w:t>Der henvises til kommentaren til Danmarks Rederiforening.</w:t>
            </w:r>
          </w:p>
          <w:p w:rsidR="00EB5CF2" w:rsidRDefault="00EB5CF2" w:rsidP="00613243">
            <w:pPr>
              <w:pStyle w:val="Tabel-BrdtekstmedafstandptekstGaramond"/>
            </w:pPr>
          </w:p>
          <w:p w:rsidR="00FE5716" w:rsidRDefault="00FE5716" w:rsidP="00613243">
            <w:pPr>
              <w:pStyle w:val="Tabel-BrdtekstmedafstandptekstGaramond"/>
            </w:pPr>
          </w:p>
          <w:p w:rsidR="00FE5716" w:rsidRDefault="00FE5716" w:rsidP="00613243">
            <w:pPr>
              <w:pStyle w:val="Tabel-BrdtekstmedafstandptekstGaramond"/>
            </w:pPr>
          </w:p>
          <w:p w:rsidR="00FE5716" w:rsidRDefault="00FE5716" w:rsidP="00613243">
            <w:pPr>
              <w:pStyle w:val="Tabel-BrdtekstmedafstandptekstGaramond"/>
            </w:pPr>
          </w:p>
          <w:p w:rsidR="00FE5716" w:rsidRDefault="00FE5716" w:rsidP="00613243">
            <w:pPr>
              <w:pStyle w:val="Tabel-BrdtekstmedafstandptekstGaramond"/>
            </w:pPr>
          </w:p>
          <w:p w:rsidR="00FE5716" w:rsidRDefault="00FE5716" w:rsidP="00613243">
            <w:pPr>
              <w:pStyle w:val="Tabel-BrdtekstmedafstandptekstGaramond"/>
            </w:pPr>
          </w:p>
          <w:p w:rsidR="00FE5716" w:rsidRDefault="00FE5716" w:rsidP="00613243">
            <w:pPr>
              <w:pStyle w:val="Tabel-BrdtekstmedafstandptekstGaramond"/>
            </w:pPr>
          </w:p>
          <w:p w:rsidR="00BB41EB" w:rsidRDefault="00BB41EB" w:rsidP="00FE5716">
            <w:pPr>
              <w:pStyle w:val="Tabel-BrdtekstmedafstandptekstGaramond"/>
            </w:pPr>
          </w:p>
          <w:p w:rsidR="00670766" w:rsidRDefault="00670766" w:rsidP="00FE5716">
            <w:pPr>
              <w:pStyle w:val="Tabel-BrdtekstmedafstandptekstGaramond"/>
            </w:pPr>
          </w:p>
          <w:p w:rsidR="00BC70CC" w:rsidRDefault="00BC70CC" w:rsidP="00FE5716">
            <w:pPr>
              <w:pStyle w:val="Tabel-BrdtekstmedafstandptekstGaramond"/>
            </w:pPr>
          </w:p>
          <w:p w:rsidR="00FE5716" w:rsidRDefault="00FE5716" w:rsidP="00FE5716">
            <w:pPr>
              <w:pStyle w:val="Tabel-BrdtekstmedafstandptekstGaramond"/>
            </w:pPr>
            <w:r>
              <w:t xml:space="preserve">Der henvises til kommentaren til </w:t>
            </w:r>
            <w:r w:rsidR="007E17D4">
              <w:t>Bech Bruun</w:t>
            </w:r>
            <w:r>
              <w:t>.</w:t>
            </w:r>
          </w:p>
          <w:p w:rsidR="00FE5716" w:rsidRDefault="00FE5716" w:rsidP="00613243">
            <w:pPr>
              <w:pStyle w:val="Tabel-BrdtekstmedafstandptekstGaramond"/>
            </w:pPr>
          </w:p>
          <w:p w:rsidR="005F0BE6" w:rsidRDefault="005F0BE6" w:rsidP="00613243">
            <w:pPr>
              <w:pStyle w:val="Tabel-BrdtekstmedafstandptekstGaramond"/>
            </w:pPr>
          </w:p>
          <w:p w:rsidR="005F0BE6" w:rsidRDefault="005F0BE6" w:rsidP="00613243">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BC70CC" w:rsidRDefault="00BC70CC" w:rsidP="005F0BE6">
            <w:pPr>
              <w:pStyle w:val="Tabel-BrdtekstmedafstandptekstGaramond"/>
            </w:pPr>
          </w:p>
          <w:p w:rsidR="005F0BE6" w:rsidRDefault="005F0BE6" w:rsidP="005F0BE6">
            <w:pPr>
              <w:pStyle w:val="Tabel-BrdtekstmedafstandptekstGaramond"/>
            </w:pPr>
            <w:r>
              <w:t>Der henvises til kommentaren til Danmarks Rederiforening.</w:t>
            </w:r>
          </w:p>
          <w:p w:rsidR="005F0BE6" w:rsidRPr="00B5346F" w:rsidRDefault="005F0BE6" w:rsidP="00613243">
            <w:pPr>
              <w:pStyle w:val="Tabel-BrdtekstmedafstandptekstGaramond"/>
            </w:pP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D7694B" w:rsidP="00712257">
            <w:pPr>
              <w:pStyle w:val="Tabel-BrdtekstmedafstandptekstGaramond"/>
              <w:rPr>
                <w:i/>
              </w:rPr>
            </w:pPr>
            <w:r>
              <w:rPr>
                <w:i/>
              </w:rPr>
              <w:lastRenderedPageBreak/>
              <w:t>KL</w:t>
            </w:r>
          </w:p>
        </w:tc>
        <w:tc>
          <w:tcPr>
            <w:tcW w:w="213" w:type="dxa"/>
            <w:shd w:val="clear" w:color="auto" w:fill="FFFFFF" w:themeFill="background1"/>
          </w:tcPr>
          <w:p w:rsidR="00815F28" w:rsidRPr="00B5346F" w:rsidRDefault="00815F28" w:rsidP="00712257"/>
        </w:tc>
        <w:tc>
          <w:tcPr>
            <w:tcW w:w="3443" w:type="dxa"/>
            <w:tcBorders>
              <w:top w:val="single" w:sz="4" w:space="0" w:color="D1C5C3" w:themeColor="accent3"/>
              <w:bottom w:val="single" w:sz="4" w:space="0" w:color="D1C5C3" w:themeColor="accent3"/>
            </w:tcBorders>
            <w:shd w:val="clear" w:color="auto" w:fill="FBF9F9"/>
          </w:tcPr>
          <w:p w:rsidR="00815F28" w:rsidRPr="00B5346F" w:rsidRDefault="004564CF" w:rsidP="00712257">
            <w:pPr>
              <w:pStyle w:val="Tabel-BrdtekstmedafstandptekstGaramond"/>
            </w:pPr>
            <w:r>
              <w:t>Har ingen bemærkninger til lo</w:t>
            </w:r>
            <w:r>
              <w:t>v</w:t>
            </w:r>
            <w:r>
              <w:t>forslaget.</w:t>
            </w:r>
          </w:p>
        </w:tc>
        <w:tc>
          <w:tcPr>
            <w:tcW w:w="230" w:type="dxa"/>
            <w:shd w:val="clear" w:color="auto" w:fill="FFFFFF" w:themeFill="background1"/>
          </w:tcPr>
          <w:p w:rsidR="00815F28" w:rsidRPr="00B5346F" w:rsidRDefault="00815F28" w:rsidP="00712257"/>
        </w:tc>
        <w:tc>
          <w:tcPr>
            <w:tcW w:w="3443" w:type="dxa"/>
            <w:tcBorders>
              <w:top w:val="single" w:sz="4" w:space="0" w:color="14143C" w:themeColor="accent1"/>
              <w:bottom w:val="single" w:sz="4" w:space="0" w:color="14143C" w:themeColor="accent1"/>
            </w:tcBorders>
            <w:shd w:val="clear" w:color="auto" w:fill="D2CED8"/>
          </w:tcPr>
          <w:p w:rsidR="00815F28" w:rsidRPr="00B5346F" w:rsidRDefault="00815F28" w:rsidP="00712257">
            <w:pPr>
              <w:pStyle w:val="Tabel-BrdtekstmedafstandptekstGaramond"/>
            </w:pPr>
          </w:p>
        </w:tc>
      </w:tr>
      <w:tr w:rsidR="00740EFC" w:rsidRPr="00B5346F" w:rsidTr="004D2BD7">
        <w:tc>
          <w:tcPr>
            <w:tcW w:w="2310" w:type="dxa"/>
            <w:tcBorders>
              <w:top w:val="single" w:sz="4" w:space="0" w:color="D1C5C3" w:themeColor="accent3"/>
              <w:bottom w:val="single" w:sz="4" w:space="0" w:color="D1C5C3" w:themeColor="accent3"/>
            </w:tcBorders>
            <w:shd w:val="clear" w:color="auto" w:fill="FBF9F9"/>
          </w:tcPr>
          <w:p w:rsidR="00740EFC" w:rsidRDefault="00740EFC" w:rsidP="00712257">
            <w:pPr>
              <w:pStyle w:val="Tabel-BrdtekstmedafstandptekstGaramond"/>
              <w:rPr>
                <w:i/>
              </w:rPr>
            </w:pPr>
            <w:r>
              <w:rPr>
                <w:i/>
              </w:rPr>
              <w:lastRenderedPageBreak/>
              <w:t xml:space="preserve">MAERSK </w:t>
            </w:r>
            <w:proofErr w:type="spellStart"/>
            <w:r>
              <w:rPr>
                <w:i/>
              </w:rPr>
              <w:t>Drilling</w:t>
            </w:r>
            <w:proofErr w:type="spellEnd"/>
          </w:p>
        </w:tc>
        <w:tc>
          <w:tcPr>
            <w:tcW w:w="213" w:type="dxa"/>
            <w:shd w:val="clear" w:color="auto" w:fill="FFFFFF" w:themeFill="background1"/>
          </w:tcPr>
          <w:p w:rsidR="00740EFC" w:rsidRPr="00B5346F" w:rsidRDefault="00740EFC" w:rsidP="00712257"/>
        </w:tc>
        <w:tc>
          <w:tcPr>
            <w:tcW w:w="3443" w:type="dxa"/>
            <w:tcBorders>
              <w:top w:val="single" w:sz="4" w:space="0" w:color="D1C5C3" w:themeColor="accent3"/>
              <w:bottom w:val="single" w:sz="4" w:space="0" w:color="D1C5C3" w:themeColor="accent3"/>
            </w:tcBorders>
            <w:shd w:val="clear" w:color="auto" w:fill="FBF9F9"/>
          </w:tcPr>
          <w:p w:rsidR="008A44D3" w:rsidRDefault="008A44D3" w:rsidP="00255FB9">
            <w:pPr>
              <w:ind w:left="171"/>
              <w:rPr>
                <w:rFonts w:eastAsia="Calibri"/>
                <w:szCs w:val="22"/>
              </w:rPr>
            </w:pPr>
          </w:p>
          <w:p w:rsidR="000D1EAB" w:rsidRDefault="000D1EAB" w:rsidP="000D1EAB">
            <w:pPr>
              <w:ind w:left="171"/>
              <w:rPr>
                <w:rFonts w:eastAsia="Calibri"/>
                <w:szCs w:val="22"/>
              </w:rPr>
            </w:pPr>
            <w:r>
              <w:rPr>
                <w:rFonts w:eastAsia="Calibri"/>
                <w:szCs w:val="22"/>
              </w:rPr>
              <w:t xml:space="preserve">Indledningsvist hilser MAERSK </w:t>
            </w:r>
            <w:proofErr w:type="spellStart"/>
            <w:r>
              <w:rPr>
                <w:rFonts w:eastAsia="Calibri"/>
                <w:szCs w:val="22"/>
              </w:rPr>
              <w:t>Dri</w:t>
            </w:r>
            <w:r>
              <w:rPr>
                <w:rFonts w:eastAsia="Calibri"/>
                <w:szCs w:val="22"/>
              </w:rPr>
              <w:t>l</w:t>
            </w:r>
            <w:r>
              <w:rPr>
                <w:rFonts w:eastAsia="Calibri"/>
                <w:szCs w:val="22"/>
              </w:rPr>
              <w:t>ling</w:t>
            </w:r>
            <w:proofErr w:type="spellEnd"/>
            <w:r w:rsidR="008061F2">
              <w:rPr>
                <w:rFonts w:eastAsia="Calibri"/>
                <w:szCs w:val="22"/>
              </w:rPr>
              <w:t xml:space="preserve"> (h</w:t>
            </w:r>
            <w:r>
              <w:rPr>
                <w:rFonts w:eastAsia="Calibri"/>
                <w:szCs w:val="22"/>
              </w:rPr>
              <w:t xml:space="preserve">erefter </w:t>
            </w:r>
            <w:r w:rsidR="008508C5">
              <w:rPr>
                <w:rFonts w:eastAsia="Calibri"/>
                <w:szCs w:val="22"/>
              </w:rPr>
              <w:t>”</w:t>
            </w:r>
            <w:r>
              <w:rPr>
                <w:rFonts w:eastAsia="Calibri"/>
                <w:szCs w:val="22"/>
              </w:rPr>
              <w:t>MD</w:t>
            </w:r>
            <w:r w:rsidR="008508C5">
              <w:rPr>
                <w:rFonts w:eastAsia="Calibri"/>
                <w:szCs w:val="22"/>
              </w:rPr>
              <w:t>”</w:t>
            </w:r>
            <w:r>
              <w:rPr>
                <w:rFonts w:eastAsia="Calibri"/>
                <w:szCs w:val="22"/>
              </w:rPr>
              <w:t xml:space="preserve">) forslaget om en udvidelse af tonnageskatteordningen med en række aktiviteter velkommen. </w:t>
            </w:r>
          </w:p>
          <w:p w:rsidR="000D1EAB" w:rsidRDefault="000D1EAB" w:rsidP="000D1EAB">
            <w:pPr>
              <w:ind w:left="171"/>
              <w:rPr>
                <w:rFonts w:eastAsia="Calibri"/>
                <w:szCs w:val="22"/>
              </w:rPr>
            </w:pPr>
          </w:p>
          <w:p w:rsidR="000D1EAB" w:rsidRDefault="000D1EAB" w:rsidP="000D1EAB">
            <w:pPr>
              <w:ind w:left="171"/>
              <w:rPr>
                <w:rFonts w:eastAsia="Calibri"/>
                <w:szCs w:val="22"/>
              </w:rPr>
            </w:pPr>
            <w:r>
              <w:rPr>
                <w:rFonts w:eastAsia="Calibri"/>
                <w:szCs w:val="22"/>
              </w:rPr>
              <w:t xml:space="preserve">Det foreslås, </w:t>
            </w:r>
            <w:r w:rsidRPr="00D05DE9">
              <w:rPr>
                <w:rFonts w:eastAsia="Calibri"/>
                <w:szCs w:val="22"/>
              </w:rPr>
              <w:t>at tonnageskatteordni</w:t>
            </w:r>
            <w:r w:rsidRPr="00D05DE9">
              <w:rPr>
                <w:rFonts w:eastAsia="Calibri"/>
                <w:szCs w:val="22"/>
              </w:rPr>
              <w:t>n</w:t>
            </w:r>
            <w:r w:rsidRPr="00D05DE9">
              <w:rPr>
                <w:rFonts w:eastAsia="Calibri"/>
                <w:szCs w:val="22"/>
              </w:rPr>
              <w:t>gen tilsvarende udvides med mobile borerigge/boreskibe.</w:t>
            </w:r>
            <w:r>
              <w:rPr>
                <w:rFonts w:eastAsia="Calibri"/>
                <w:szCs w:val="22"/>
              </w:rPr>
              <w:t xml:space="preserve"> Konkret foreslås en ordning, hvor nyere borerigge g</w:t>
            </w:r>
            <w:r>
              <w:rPr>
                <w:rFonts w:eastAsia="Calibri"/>
                <w:szCs w:val="22"/>
              </w:rPr>
              <w:t>i</w:t>
            </w:r>
            <w:r>
              <w:rPr>
                <w:rFonts w:eastAsia="Calibri"/>
                <w:szCs w:val="22"/>
              </w:rPr>
              <w:t>ves adgang til tonnageskatteordningen med en model, hvor beskatningen b</w:t>
            </w:r>
            <w:r>
              <w:rPr>
                <w:rFonts w:eastAsia="Calibri"/>
                <w:szCs w:val="22"/>
              </w:rPr>
              <w:t>e</w:t>
            </w:r>
            <w:r>
              <w:rPr>
                <w:rFonts w:eastAsia="Calibri"/>
                <w:szCs w:val="22"/>
              </w:rPr>
              <w:t>regnes ud fra indtjeningen baseret på bruttotonnagen. Det foreslås, at de</w:t>
            </w:r>
            <w:r>
              <w:rPr>
                <w:rFonts w:eastAsia="Calibri"/>
                <w:szCs w:val="22"/>
              </w:rPr>
              <w:t>n</w:t>
            </w:r>
            <w:r>
              <w:rPr>
                <w:rFonts w:eastAsia="Calibri"/>
                <w:szCs w:val="22"/>
              </w:rPr>
              <w:t xml:space="preserve">ne sats skal være 3-4 gange højere end den almindelige tonnageskattesats.  </w:t>
            </w:r>
          </w:p>
          <w:p w:rsidR="000D1EAB" w:rsidRDefault="000D1EAB" w:rsidP="000D1EAB">
            <w:pPr>
              <w:ind w:left="171"/>
              <w:rPr>
                <w:rFonts w:eastAsia="Calibri"/>
                <w:szCs w:val="22"/>
              </w:rPr>
            </w:pPr>
          </w:p>
          <w:p w:rsidR="00F003C5" w:rsidRPr="00D05DE9" w:rsidRDefault="000D1EAB" w:rsidP="00936157">
            <w:pPr>
              <w:ind w:left="171"/>
              <w:rPr>
                <w:rFonts w:eastAsia="Calibri"/>
                <w:szCs w:val="22"/>
              </w:rPr>
            </w:pPr>
            <w:r>
              <w:rPr>
                <w:rFonts w:eastAsia="Calibri"/>
                <w:szCs w:val="22"/>
              </w:rPr>
              <w:t>Det er vurderingen, at dette vil give et skatteprovenu for hver rig på størrelse med, hvad der betales i tonnageskat for verdens største containerskib. Det forventes videre, at en sådan udvide</w:t>
            </w:r>
            <w:r>
              <w:rPr>
                <w:rFonts w:eastAsia="Calibri"/>
                <w:szCs w:val="22"/>
              </w:rPr>
              <w:t>l</w:t>
            </w:r>
            <w:r>
              <w:rPr>
                <w:rFonts w:eastAsia="Calibri"/>
                <w:szCs w:val="22"/>
              </w:rPr>
              <w:t xml:space="preserve">se vil betyde en indflagning på 3-5 rigge og potentialet for en stor andel af nybygninger under dansk ejerskab, hvilket vil medføre en forventet vækst på 100 specialister til hovedkontoret over de næste 5 år. </w:t>
            </w:r>
          </w:p>
        </w:tc>
        <w:tc>
          <w:tcPr>
            <w:tcW w:w="230" w:type="dxa"/>
            <w:shd w:val="clear" w:color="auto" w:fill="FFFFFF" w:themeFill="background1"/>
          </w:tcPr>
          <w:p w:rsidR="00740EFC" w:rsidRPr="00B5346F" w:rsidRDefault="00740EFC" w:rsidP="00712257"/>
        </w:tc>
        <w:tc>
          <w:tcPr>
            <w:tcW w:w="3443" w:type="dxa"/>
            <w:tcBorders>
              <w:top w:val="single" w:sz="4" w:space="0" w:color="14143C" w:themeColor="accent1"/>
              <w:bottom w:val="single" w:sz="4" w:space="0" w:color="14143C" w:themeColor="accent1"/>
            </w:tcBorders>
            <w:shd w:val="clear" w:color="auto" w:fill="D2CED8"/>
          </w:tcPr>
          <w:p w:rsidR="00740EFC" w:rsidRDefault="00740EFC" w:rsidP="00712257">
            <w:pPr>
              <w:pStyle w:val="Tabel-BrdtekstmedafstandptekstGaramond"/>
            </w:pPr>
          </w:p>
          <w:p w:rsidR="00322E43" w:rsidRDefault="00322E43" w:rsidP="00712257">
            <w:pPr>
              <w:pStyle w:val="Tabel-BrdtekstmedafstandptekstGaramond"/>
            </w:pPr>
          </w:p>
          <w:p w:rsidR="00322E43" w:rsidRDefault="00322E43" w:rsidP="00712257">
            <w:pPr>
              <w:pStyle w:val="Tabel-BrdtekstmedafstandptekstGaramond"/>
            </w:pPr>
          </w:p>
          <w:p w:rsidR="008060BD" w:rsidRDefault="008060BD" w:rsidP="00322E43">
            <w:pPr>
              <w:pStyle w:val="Tabel-BrdtekstmedafstandptekstGaramond"/>
            </w:pPr>
          </w:p>
          <w:p w:rsidR="008A44D3" w:rsidRDefault="008A44D3" w:rsidP="00322E43">
            <w:pPr>
              <w:pStyle w:val="Tabel-BrdtekstmedafstandptekstGaramond"/>
            </w:pPr>
          </w:p>
          <w:p w:rsidR="00322E43" w:rsidRDefault="00322E43" w:rsidP="00322E43">
            <w:pPr>
              <w:pStyle w:val="Tabel-BrdtekstmedafstandptekstGaramond"/>
            </w:pPr>
            <w:r>
              <w:t>Der henvises til kommentaren til Danmarks Rederiforening.</w:t>
            </w:r>
          </w:p>
          <w:p w:rsidR="00322E43" w:rsidRPr="00B5346F" w:rsidRDefault="00322E43" w:rsidP="00712257">
            <w:pPr>
              <w:pStyle w:val="Tabel-BrdtekstmedafstandptekstGaramond"/>
            </w:pPr>
          </w:p>
        </w:tc>
      </w:tr>
      <w:tr w:rsidR="00740EFC" w:rsidRPr="00B5346F" w:rsidTr="004D2BD7">
        <w:tc>
          <w:tcPr>
            <w:tcW w:w="2310" w:type="dxa"/>
            <w:tcBorders>
              <w:top w:val="single" w:sz="4" w:space="0" w:color="D1C5C3" w:themeColor="accent3"/>
              <w:bottom w:val="single" w:sz="4" w:space="0" w:color="D1C5C3" w:themeColor="accent3"/>
            </w:tcBorders>
            <w:shd w:val="clear" w:color="auto" w:fill="FBF9F9"/>
          </w:tcPr>
          <w:p w:rsidR="00740EFC" w:rsidRDefault="008B315F" w:rsidP="00712257">
            <w:pPr>
              <w:pStyle w:val="Tabel-BrdtekstmedafstandptekstGaramond"/>
              <w:rPr>
                <w:i/>
              </w:rPr>
            </w:pPr>
            <w:r>
              <w:rPr>
                <w:i/>
              </w:rPr>
              <w:t>MAERSK Supply Se</w:t>
            </w:r>
            <w:r>
              <w:rPr>
                <w:i/>
              </w:rPr>
              <w:t>r</w:t>
            </w:r>
            <w:r>
              <w:rPr>
                <w:i/>
              </w:rPr>
              <w:t>vice</w:t>
            </w:r>
          </w:p>
        </w:tc>
        <w:tc>
          <w:tcPr>
            <w:tcW w:w="213" w:type="dxa"/>
            <w:shd w:val="clear" w:color="auto" w:fill="FFFFFF" w:themeFill="background1"/>
          </w:tcPr>
          <w:p w:rsidR="00740EFC" w:rsidRPr="00B5346F" w:rsidRDefault="00740EFC" w:rsidP="00712257"/>
        </w:tc>
        <w:tc>
          <w:tcPr>
            <w:tcW w:w="3443" w:type="dxa"/>
            <w:tcBorders>
              <w:top w:val="single" w:sz="4" w:space="0" w:color="D1C5C3" w:themeColor="accent3"/>
              <w:bottom w:val="single" w:sz="4" w:space="0" w:color="D1C5C3" w:themeColor="accent3"/>
            </w:tcBorders>
            <w:shd w:val="clear" w:color="auto" w:fill="FBF9F9"/>
          </w:tcPr>
          <w:p w:rsidR="008A44D3" w:rsidRDefault="008A44D3" w:rsidP="00255FB9">
            <w:pPr>
              <w:ind w:left="171"/>
              <w:rPr>
                <w:rFonts w:eastAsia="Calibri"/>
                <w:szCs w:val="22"/>
              </w:rPr>
            </w:pPr>
          </w:p>
          <w:p w:rsidR="00DE22CC" w:rsidRDefault="00DE22CC" w:rsidP="00DE22CC">
            <w:pPr>
              <w:ind w:left="171"/>
              <w:rPr>
                <w:rFonts w:eastAsia="Calibri"/>
                <w:szCs w:val="22"/>
              </w:rPr>
            </w:pPr>
            <w:r>
              <w:rPr>
                <w:rFonts w:eastAsia="Calibri"/>
                <w:szCs w:val="22"/>
              </w:rPr>
              <w:t>Indledningsvist hilser MAERSK Su</w:t>
            </w:r>
            <w:r>
              <w:rPr>
                <w:rFonts w:eastAsia="Calibri"/>
                <w:szCs w:val="22"/>
              </w:rPr>
              <w:t>p</w:t>
            </w:r>
            <w:r>
              <w:rPr>
                <w:rFonts w:eastAsia="Calibri"/>
                <w:szCs w:val="22"/>
              </w:rPr>
              <w:t xml:space="preserve">ply Service (herefter </w:t>
            </w:r>
            <w:r w:rsidR="008508C5">
              <w:rPr>
                <w:rFonts w:eastAsia="Calibri"/>
                <w:szCs w:val="22"/>
              </w:rPr>
              <w:t>”MSS”</w:t>
            </w:r>
            <w:r>
              <w:rPr>
                <w:rFonts w:eastAsia="Calibri"/>
                <w:szCs w:val="22"/>
              </w:rPr>
              <w:t>)forslaget om en udvidelse af tonnageskatteor</w:t>
            </w:r>
            <w:r>
              <w:rPr>
                <w:rFonts w:eastAsia="Calibri"/>
                <w:szCs w:val="22"/>
              </w:rPr>
              <w:t>d</w:t>
            </w:r>
            <w:r>
              <w:rPr>
                <w:rFonts w:eastAsia="Calibri"/>
                <w:szCs w:val="22"/>
              </w:rPr>
              <w:t>ningen med en række aktiviteter ve</w:t>
            </w:r>
            <w:r>
              <w:rPr>
                <w:rFonts w:eastAsia="Calibri"/>
                <w:szCs w:val="22"/>
              </w:rPr>
              <w:t>l</w:t>
            </w:r>
            <w:r>
              <w:rPr>
                <w:rFonts w:eastAsia="Calibri"/>
                <w:szCs w:val="22"/>
              </w:rPr>
              <w:t xml:space="preserve">kommen. </w:t>
            </w:r>
          </w:p>
          <w:p w:rsidR="00DE22CC" w:rsidRDefault="00DE22CC" w:rsidP="00DE22CC">
            <w:pPr>
              <w:ind w:left="171"/>
              <w:rPr>
                <w:rFonts w:eastAsia="Calibri"/>
                <w:szCs w:val="22"/>
              </w:rPr>
            </w:pPr>
          </w:p>
          <w:p w:rsidR="00DE22CC" w:rsidRDefault="00DE22CC" w:rsidP="00DE22CC">
            <w:pPr>
              <w:ind w:left="171"/>
              <w:rPr>
                <w:rFonts w:eastAsia="Calibri"/>
                <w:szCs w:val="22"/>
              </w:rPr>
            </w:pPr>
            <w:r>
              <w:rPr>
                <w:rFonts w:eastAsia="Calibri"/>
                <w:szCs w:val="22"/>
              </w:rPr>
              <w:t>Der foreslås en bredere definition i forhold til de aktiviteter, som tonn</w:t>
            </w:r>
            <w:r>
              <w:rPr>
                <w:rFonts w:eastAsia="Calibri"/>
                <w:szCs w:val="22"/>
              </w:rPr>
              <w:t>a</w:t>
            </w:r>
            <w:r>
              <w:rPr>
                <w:rFonts w:eastAsia="Calibri"/>
                <w:szCs w:val="22"/>
              </w:rPr>
              <w:t>geskatteordningen udvides med. Det foreslås at udvide tonnageskatteor</w:t>
            </w:r>
            <w:r>
              <w:rPr>
                <w:rFonts w:eastAsia="Calibri"/>
                <w:szCs w:val="22"/>
              </w:rPr>
              <w:t>d</w:t>
            </w:r>
            <w:r>
              <w:rPr>
                <w:rFonts w:eastAsia="Calibri"/>
                <w:szCs w:val="22"/>
              </w:rPr>
              <w:t>ning med en række aktiviteter, der u</w:t>
            </w:r>
            <w:r>
              <w:rPr>
                <w:rFonts w:eastAsia="Calibri"/>
                <w:szCs w:val="22"/>
              </w:rPr>
              <w:t>d</w:t>
            </w:r>
            <w:r>
              <w:rPr>
                <w:rFonts w:eastAsia="Calibri"/>
                <w:szCs w:val="22"/>
              </w:rPr>
              <w:t xml:space="preserve">føres af </w:t>
            </w:r>
            <w:proofErr w:type="spellStart"/>
            <w:r>
              <w:rPr>
                <w:rFonts w:eastAsia="Calibri"/>
                <w:szCs w:val="22"/>
              </w:rPr>
              <w:t>SSVer</w:t>
            </w:r>
            <w:proofErr w:type="spellEnd"/>
            <w:r>
              <w:rPr>
                <w:rFonts w:eastAsia="Calibri"/>
                <w:szCs w:val="22"/>
              </w:rPr>
              <w:t xml:space="preserve"> (</w:t>
            </w:r>
            <w:proofErr w:type="spellStart"/>
            <w:r>
              <w:rPr>
                <w:rFonts w:eastAsia="Calibri"/>
                <w:szCs w:val="22"/>
              </w:rPr>
              <w:t>Subsea</w:t>
            </w:r>
            <w:proofErr w:type="spellEnd"/>
            <w:r>
              <w:rPr>
                <w:rFonts w:eastAsia="Calibri"/>
                <w:szCs w:val="22"/>
              </w:rPr>
              <w:t xml:space="preserve"> Support Ve</w:t>
            </w:r>
            <w:r>
              <w:rPr>
                <w:rFonts w:eastAsia="Calibri"/>
                <w:szCs w:val="22"/>
              </w:rPr>
              <w:t>s</w:t>
            </w:r>
            <w:r>
              <w:rPr>
                <w:rFonts w:eastAsia="Calibri"/>
                <w:szCs w:val="22"/>
              </w:rPr>
              <w:t>sels), som leverer service til olie- og gasindustrien samt industrien for ve</w:t>
            </w:r>
            <w:r>
              <w:rPr>
                <w:rFonts w:eastAsia="Calibri"/>
                <w:szCs w:val="22"/>
              </w:rPr>
              <w:t>d</w:t>
            </w:r>
            <w:r>
              <w:rPr>
                <w:rFonts w:eastAsia="Calibri"/>
                <w:szCs w:val="22"/>
              </w:rPr>
              <w:t xml:space="preserve">varende energi. Det foreslås videre at </w:t>
            </w:r>
            <w:r>
              <w:rPr>
                <w:rFonts w:eastAsia="Calibri"/>
                <w:szCs w:val="22"/>
              </w:rPr>
              <w:lastRenderedPageBreak/>
              <w:t>udvide tonnageskatteordningen med en række aktiviteter, som udføres af konstruktionsskibe i offshore ind</w:t>
            </w:r>
            <w:r>
              <w:rPr>
                <w:rFonts w:eastAsia="Calibri"/>
                <w:szCs w:val="22"/>
              </w:rPr>
              <w:t>u</w:t>
            </w:r>
            <w:r>
              <w:rPr>
                <w:rFonts w:eastAsia="Calibri"/>
                <w:szCs w:val="22"/>
              </w:rPr>
              <w:t xml:space="preserve">strien, der primært forestår bygning og reparation af olieinstallationer og andre havanlæg. </w:t>
            </w:r>
          </w:p>
          <w:p w:rsidR="00DE22CC" w:rsidRPr="004E46B4" w:rsidRDefault="00DE22CC" w:rsidP="00A702AD">
            <w:pPr>
              <w:pStyle w:val="Tabel-BrdtekstmedafstandptekstGaramond"/>
            </w:pPr>
            <w:r w:rsidRPr="004E46B4">
              <w:t>For så vidt angår DIS-ordningen bemærke</w:t>
            </w:r>
            <w:r>
              <w:t>s</w:t>
            </w:r>
            <w:r w:rsidRPr="004E46B4">
              <w:t>, at nettolønsordningen bør gælde</w:t>
            </w:r>
            <w:r w:rsidR="00A702AD">
              <w:t>,</w:t>
            </w:r>
            <w:r w:rsidRPr="004E46B4">
              <w:t xml:space="preserve"> </w:t>
            </w:r>
            <w:r w:rsidR="00A702AD" w:rsidRPr="004E46B4">
              <w:t>uanset</w:t>
            </w:r>
            <w:r w:rsidRPr="004E46B4">
              <w:t xml:space="preserve"> hvilken type skib de søfarende arbejder på, og ua</w:t>
            </w:r>
            <w:r w:rsidRPr="004E46B4">
              <w:t>n</w:t>
            </w:r>
            <w:r w:rsidRPr="004E46B4">
              <w:t xml:space="preserve">set om disse skibe er omfattet af særlige skattesystemer svarende til den britiske og svenske ordning. </w:t>
            </w:r>
          </w:p>
          <w:p w:rsidR="00DE22CC" w:rsidRPr="004E46B4" w:rsidRDefault="00DE22CC" w:rsidP="00DE22CC">
            <w:pPr>
              <w:pStyle w:val="Tabel-BrdtekstmedafstandptekstGaramond"/>
            </w:pPr>
          </w:p>
          <w:p w:rsidR="00DE22CC" w:rsidRPr="004E46B4" w:rsidRDefault="00DE22CC" w:rsidP="00DE22CC">
            <w:pPr>
              <w:pStyle w:val="Tabel-BrdtekstmedafstandptekstGaramond"/>
            </w:pPr>
            <w:r w:rsidRPr="004E46B4">
              <w:t>Såfremt dette ikke er muligt o</w:t>
            </w:r>
            <w:r w:rsidRPr="004E46B4">
              <w:t>p</w:t>
            </w:r>
            <w:r w:rsidRPr="004E46B4">
              <w:t>fordre</w:t>
            </w:r>
            <w:r>
              <w:t>s</w:t>
            </w:r>
            <w:r w:rsidRPr="004E46B4">
              <w:t xml:space="preserve"> til, at § 5 a i sømandsb</w:t>
            </w:r>
            <w:r w:rsidRPr="004E46B4">
              <w:t>e</w:t>
            </w:r>
            <w:r w:rsidRPr="004E46B4">
              <w:t>skatningsloven slettes. Desuden anbefale</w:t>
            </w:r>
            <w:r>
              <w:t>s</w:t>
            </w:r>
            <w:r w:rsidRPr="004E46B4">
              <w:t xml:space="preserve"> at det undlades at in</w:t>
            </w:r>
            <w:r w:rsidRPr="004E46B4">
              <w:t>d</w:t>
            </w:r>
            <w:r w:rsidRPr="004E46B4">
              <w:t xml:space="preserve">sætte § 5 b. </w:t>
            </w:r>
          </w:p>
          <w:p w:rsidR="00DE22CC" w:rsidRPr="004E46B4" w:rsidRDefault="00DE22CC" w:rsidP="00DE22CC">
            <w:pPr>
              <w:pStyle w:val="Tabel-BrdtekstmedafstandptekstGaramond"/>
            </w:pPr>
          </w:p>
          <w:p w:rsidR="00DE22CC" w:rsidRPr="004E46B4" w:rsidRDefault="00DE22CC" w:rsidP="00DE22CC">
            <w:pPr>
              <w:pStyle w:val="Tabel-BrdtekstmedafstandptekstGaramond"/>
            </w:pPr>
            <w:r w:rsidRPr="004E46B4">
              <w:t>Søfarendes løn er den væsentligste del af de daglige driftsomkostni</w:t>
            </w:r>
            <w:r w:rsidRPr="004E46B4">
              <w:t>n</w:t>
            </w:r>
            <w:r w:rsidRPr="004E46B4">
              <w:t xml:space="preserve">ger på skibe i offshore industrien. Såfremt MSS skal betale danske besætningsmedlemmer bruttoløn på </w:t>
            </w:r>
            <w:proofErr w:type="spellStart"/>
            <w:r w:rsidRPr="004E46B4">
              <w:t>SSV’erne</w:t>
            </w:r>
            <w:proofErr w:type="spellEnd"/>
            <w:r w:rsidRPr="004E46B4">
              <w:t>, vil virksomheden</w:t>
            </w:r>
            <w:r>
              <w:t xml:space="preserve"> ifølge MSS</w:t>
            </w:r>
            <w:r w:rsidRPr="004E46B4">
              <w:t xml:space="preserve"> ikke være konkurre</w:t>
            </w:r>
            <w:r w:rsidRPr="004E46B4">
              <w:t>n</w:t>
            </w:r>
            <w:r w:rsidRPr="004E46B4">
              <w:t xml:space="preserve">cedygtig globalt. </w:t>
            </w:r>
          </w:p>
          <w:p w:rsidR="00546F20" w:rsidRPr="00D05DE9" w:rsidRDefault="00546F20" w:rsidP="00546F20">
            <w:pPr>
              <w:rPr>
                <w:rFonts w:eastAsia="Calibri"/>
                <w:szCs w:val="22"/>
              </w:rPr>
            </w:pPr>
            <w:r w:rsidRPr="00D05DE9">
              <w:rPr>
                <w:rFonts w:eastAsia="Calibri"/>
                <w:szCs w:val="22"/>
              </w:rPr>
              <w:t xml:space="preserve"> </w:t>
            </w:r>
          </w:p>
          <w:p w:rsidR="00546F20" w:rsidRPr="00D05DE9" w:rsidRDefault="00546F20" w:rsidP="00546F20">
            <w:pPr>
              <w:rPr>
                <w:rFonts w:eastAsia="Calibri"/>
                <w:szCs w:val="22"/>
              </w:rPr>
            </w:pPr>
            <w:r w:rsidRPr="00D05DE9">
              <w:rPr>
                <w:rFonts w:eastAsia="Calibri"/>
                <w:szCs w:val="22"/>
              </w:rPr>
              <w:t> </w:t>
            </w:r>
          </w:p>
          <w:p w:rsidR="00546F20" w:rsidRDefault="00546F20" w:rsidP="00BA686C">
            <w:pPr>
              <w:rPr>
                <w:rFonts w:eastAsia="Calibri"/>
                <w:szCs w:val="22"/>
              </w:rPr>
            </w:pPr>
          </w:p>
          <w:p w:rsidR="00740EFC" w:rsidRPr="00D05DE9" w:rsidRDefault="00740EFC" w:rsidP="00845F76">
            <w:pPr>
              <w:rPr>
                <w:rFonts w:eastAsia="Calibri"/>
                <w:szCs w:val="22"/>
              </w:rPr>
            </w:pPr>
          </w:p>
        </w:tc>
        <w:tc>
          <w:tcPr>
            <w:tcW w:w="230" w:type="dxa"/>
            <w:shd w:val="clear" w:color="auto" w:fill="FFFFFF" w:themeFill="background1"/>
          </w:tcPr>
          <w:p w:rsidR="00740EFC" w:rsidRPr="00B5346F" w:rsidRDefault="00740EFC" w:rsidP="00712257"/>
        </w:tc>
        <w:tc>
          <w:tcPr>
            <w:tcW w:w="3443" w:type="dxa"/>
            <w:tcBorders>
              <w:top w:val="single" w:sz="4" w:space="0" w:color="14143C" w:themeColor="accent1"/>
              <w:bottom w:val="single" w:sz="4" w:space="0" w:color="14143C" w:themeColor="accent1"/>
            </w:tcBorders>
            <w:shd w:val="clear" w:color="auto" w:fill="D2CED8"/>
          </w:tcPr>
          <w:p w:rsidR="00740EFC" w:rsidRDefault="00740EFC" w:rsidP="00712257">
            <w:pPr>
              <w:pStyle w:val="Tabel-BrdtekstmedafstandptekstGaramond"/>
            </w:pPr>
          </w:p>
          <w:p w:rsidR="007D372B" w:rsidRDefault="007D372B" w:rsidP="00712257">
            <w:pPr>
              <w:pStyle w:val="Tabel-BrdtekstmedafstandptekstGaramond"/>
            </w:pPr>
          </w:p>
          <w:p w:rsidR="007D372B" w:rsidRDefault="007D372B" w:rsidP="00712257">
            <w:pPr>
              <w:pStyle w:val="Tabel-BrdtekstmedafstandptekstGaramond"/>
            </w:pPr>
          </w:p>
          <w:p w:rsidR="001C0B25" w:rsidRDefault="001C0B25" w:rsidP="00712257">
            <w:pPr>
              <w:pStyle w:val="Tabel-BrdtekstmedafstandptekstGaramond"/>
            </w:pPr>
          </w:p>
          <w:p w:rsidR="00C06E26" w:rsidRDefault="00C06E26" w:rsidP="001C0B25">
            <w:pPr>
              <w:pStyle w:val="Tabel-BrdtekstmedafstandptekstGaramond"/>
            </w:pPr>
          </w:p>
          <w:p w:rsidR="008A44D3" w:rsidRDefault="008A44D3" w:rsidP="001C0B25">
            <w:pPr>
              <w:pStyle w:val="Tabel-BrdtekstmedafstandptekstGaramond"/>
            </w:pPr>
          </w:p>
          <w:p w:rsidR="00B80925" w:rsidRDefault="00B80925" w:rsidP="00F41122">
            <w:pPr>
              <w:pStyle w:val="Tabel-BrdtekstmedafstandptekstGaramond"/>
            </w:pPr>
            <w:r>
              <w:t xml:space="preserve">Der henvises til kommentaren til </w:t>
            </w:r>
            <w:r w:rsidR="00F41122">
              <w:t>FS</w:t>
            </w:r>
            <w:r w:rsidR="00F026FA">
              <w:t>R</w:t>
            </w:r>
            <w:r>
              <w:t>.</w:t>
            </w: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r>
              <w:t xml:space="preserve">Der henvises til kommentaren til </w:t>
            </w:r>
            <w:r w:rsidR="007E17D4">
              <w:t>Bech-Bruun</w:t>
            </w:r>
            <w:r>
              <w:t>.</w:t>
            </w: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B80925" w:rsidRDefault="00B80925" w:rsidP="00B80925">
            <w:pPr>
              <w:pStyle w:val="Tabel-BrdtekstmedafstandptekstGaramond"/>
            </w:pPr>
          </w:p>
          <w:p w:rsidR="007D372B" w:rsidRPr="00B5346F" w:rsidRDefault="00B80925" w:rsidP="00B80925">
            <w:pPr>
              <w:pStyle w:val="Tabel-BrdtekstmedafstandptekstGaramond"/>
            </w:pPr>
            <w:r>
              <w:t>Sømandsbeskatningslovens § 5 a, stk. 1, foreslås ophævet, da tonn</w:t>
            </w:r>
            <w:r>
              <w:t>a</w:t>
            </w:r>
            <w:r>
              <w:t>geskatteloven med lovforsalget f</w:t>
            </w:r>
            <w:r>
              <w:t>o</w:t>
            </w:r>
            <w:r>
              <w:t>reslås udvidet til også at omfatte kabelskibe, hvorved denne del af bestemmelsen mister sin bety</w:t>
            </w:r>
            <w:r>
              <w:t>d</w:t>
            </w:r>
            <w:r>
              <w:t>ning. Sømandsbeskatningslovens § 5 a, stk. 2, lovfæster de betingelser, som Kommissionen har tilkend</w:t>
            </w:r>
            <w:r>
              <w:t>e</w:t>
            </w:r>
            <w:r>
              <w:t>givet skal være opfyldt for, at k</w:t>
            </w:r>
            <w:r>
              <w:t>a</w:t>
            </w:r>
            <w:r>
              <w:t>belskibe inden for EU/EØS kan omfattes af statsstøtteforanstal</w:t>
            </w:r>
            <w:r>
              <w:t>t</w:t>
            </w:r>
            <w:r>
              <w:t>ninger. Denne del af bestemme</w:t>
            </w:r>
            <w:r>
              <w:t>l</w:t>
            </w:r>
            <w:r>
              <w:t>sen ændres derfor ikke. For så vidt angår bemærkningerne om den f</w:t>
            </w:r>
            <w:r>
              <w:t>o</w:t>
            </w:r>
            <w:r>
              <w:t>reslåede § 5 b i sømandsbeska</w:t>
            </w:r>
            <w:r>
              <w:t>t</w:t>
            </w:r>
            <w:r>
              <w:t>ningsloven henvises til komment</w:t>
            </w:r>
            <w:r>
              <w:t>a</w:t>
            </w:r>
            <w:r>
              <w:t>ren til Danmarks Rederiforening.</w:t>
            </w:r>
          </w:p>
        </w:tc>
      </w:tr>
      <w:tr w:rsidR="00815F28" w:rsidRPr="00B5346F" w:rsidTr="004D2BD7">
        <w:tc>
          <w:tcPr>
            <w:tcW w:w="2310" w:type="dxa"/>
            <w:tcBorders>
              <w:top w:val="single" w:sz="4" w:space="0" w:color="D1C5C3" w:themeColor="accent3"/>
              <w:bottom w:val="single" w:sz="4" w:space="0" w:color="D1C5C3" w:themeColor="accent3"/>
            </w:tcBorders>
            <w:shd w:val="clear" w:color="auto" w:fill="FBF9F9"/>
          </w:tcPr>
          <w:p w:rsidR="00815F28" w:rsidRPr="00600E3E" w:rsidRDefault="004564CF" w:rsidP="00712257">
            <w:pPr>
              <w:pStyle w:val="Tabel-BrdtekstmedafstandptekstGaramond"/>
              <w:rPr>
                <w:i/>
              </w:rPr>
            </w:pPr>
            <w:r>
              <w:rPr>
                <w:i/>
              </w:rPr>
              <w:lastRenderedPageBreak/>
              <w:t>Maskinmestrenes Fo</w:t>
            </w:r>
            <w:r>
              <w:rPr>
                <w:i/>
              </w:rPr>
              <w:t>r</w:t>
            </w:r>
            <w:r>
              <w:rPr>
                <w:i/>
              </w:rPr>
              <w:t>ening</w:t>
            </w:r>
          </w:p>
        </w:tc>
        <w:tc>
          <w:tcPr>
            <w:tcW w:w="213" w:type="dxa"/>
            <w:shd w:val="clear" w:color="auto" w:fill="FFFFFF" w:themeFill="background1"/>
          </w:tcPr>
          <w:p w:rsidR="00815F28" w:rsidRPr="00B5346F" w:rsidRDefault="00815F28" w:rsidP="00712257"/>
        </w:tc>
        <w:tc>
          <w:tcPr>
            <w:tcW w:w="3443" w:type="dxa"/>
            <w:tcBorders>
              <w:top w:val="single" w:sz="4" w:space="0" w:color="D1C5C3" w:themeColor="accent3"/>
              <w:bottom w:val="single" w:sz="4" w:space="0" w:color="D1C5C3" w:themeColor="accent3"/>
            </w:tcBorders>
            <w:shd w:val="clear" w:color="auto" w:fill="FBF9F9"/>
          </w:tcPr>
          <w:p w:rsidR="00096D4D" w:rsidRDefault="00096D4D" w:rsidP="004F7160">
            <w:pPr>
              <w:ind w:left="312"/>
            </w:pPr>
          </w:p>
          <w:p w:rsidR="008A44D3" w:rsidRDefault="008A44D3" w:rsidP="004F7160">
            <w:pPr>
              <w:ind w:left="312"/>
            </w:pPr>
            <w:r>
              <w:t>Maskinmestrenes Forening ser pos</w:t>
            </w:r>
            <w:r>
              <w:t>i</w:t>
            </w:r>
            <w:r>
              <w:t>tivt på den foreslåede udvidelse af tonnageskatteordningen med de b</w:t>
            </w:r>
            <w:r>
              <w:t>e</w:t>
            </w:r>
            <w:r>
              <w:t>rørte specialskibe, men havde de</w:t>
            </w:r>
            <w:r>
              <w:t>r</w:t>
            </w:r>
            <w:r>
              <w:t>udover gerne set nogle mere ambit</w:t>
            </w:r>
            <w:r>
              <w:t>i</w:t>
            </w:r>
            <w:r>
              <w:t>øse initiativer, der tillige omfattede en udvidelse af DIS-ordningen.</w:t>
            </w:r>
          </w:p>
          <w:p w:rsidR="008A44D3" w:rsidRDefault="008A44D3" w:rsidP="004F7160">
            <w:pPr>
              <w:ind w:left="312"/>
            </w:pPr>
          </w:p>
          <w:p w:rsidR="004F7160" w:rsidRDefault="008A44D3" w:rsidP="004F7160">
            <w:pPr>
              <w:ind w:left="312"/>
            </w:pPr>
            <w:r>
              <w:t>Det anføres</w:t>
            </w:r>
            <w:r w:rsidR="008E1F04" w:rsidRPr="004E46B4">
              <w:t xml:space="preserve">, at det klart fremgik af </w:t>
            </w:r>
            <w:r>
              <w:lastRenderedPageBreak/>
              <w:t xml:space="preserve">regeringens </w:t>
            </w:r>
            <w:r w:rsidR="008E1F04" w:rsidRPr="008A44D3">
              <w:rPr>
                <w:i/>
              </w:rPr>
              <w:t>Vækstplan for det blå Danmark</w:t>
            </w:r>
            <w:r w:rsidR="008E1F04" w:rsidRPr="004E46B4">
              <w:t>, at forudsætningerne for vækst i bl.a. offshore sektoren var, at erhvervet havde adgang til højt kv</w:t>
            </w:r>
            <w:r w:rsidR="008E1F04" w:rsidRPr="004E46B4">
              <w:t>a</w:t>
            </w:r>
            <w:r w:rsidR="008E1F04" w:rsidRPr="004E46B4">
              <w:t xml:space="preserve">lificerede danske officerer. DIS-ordningen er </w:t>
            </w:r>
            <w:r w:rsidR="005E6044">
              <w:t>ifølge Maskinmestr</w:t>
            </w:r>
            <w:r w:rsidR="005E6044">
              <w:t>e</w:t>
            </w:r>
            <w:r w:rsidR="005E6044">
              <w:t>nes Forening</w:t>
            </w:r>
            <w:r w:rsidR="00B24345">
              <w:t xml:space="preserve"> </w:t>
            </w:r>
            <w:r>
              <w:t xml:space="preserve">netop </w:t>
            </w:r>
            <w:r w:rsidR="008E1F04" w:rsidRPr="004E46B4">
              <w:t>med til at sikre, at danske rederier kan konkurrere på det globale marked med dansk ej</w:t>
            </w:r>
            <w:r w:rsidR="008E1F04" w:rsidRPr="004E46B4">
              <w:t>e</w:t>
            </w:r>
            <w:r w:rsidR="008E1F04" w:rsidRPr="004E46B4">
              <w:t>de, dansk registrerede og dansk b</w:t>
            </w:r>
            <w:r w:rsidR="008E1F04" w:rsidRPr="004E46B4">
              <w:t>e</w:t>
            </w:r>
            <w:r w:rsidR="008E1F04" w:rsidRPr="004E46B4">
              <w:t>mandede skibe. Maskinmestrenes Forening foreslår derfor, at DIS ordningen udvides på samme måde som tonnageskatteordningen.</w:t>
            </w:r>
          </w:p>
          <w:p w:rsidR="004F7160" w:rsidRDefault="004F7160" w:rsidP="004F7160">
            <w:pPr>
              <w:ind w:left="312"/>
            </w:pPr>
          </w:p>
          <w:p w:rsidR="00815F28" w:rsidRPr="00B5346F" w:rsidRDefault="008A44D3" w:rsidP="008A44D3">
            <w:pPr>
              <w:ind w:left="312"/>
            </w:pPr>
            <w:r>
              <w:rPr>
                <w:rFonts w:eastAsia="Calibri"/>
                <w:szCs w:val="22"/>
              </w:rPr>
              <w:t>Foreningen</w:t>
            </w:r>
            <w:r w:rsidR="00175AA1" w:rsidRPr="00D05DE9">
              <w:rPr>
                <w:rFonts w:eastAsia="Calibri"/>
                <w:szCs w:val="22"/>
              </w:rPr>
              <w:t xml:space="preserve"> foreslår desuden</w:t>
            </w:r>
            <w:r w:rsidR="004360E8" w:rsidRPr="00D05DE9">
              <w:rPr>
                <w:rFonts w:eastAsia="Calibri"/>
                <w:szCs w:val="22"/>
              </w:rPr>
              <w:t xml:space="preserve">, at </w:t>
            </w:r>
            <w:r w:rsidR="00175AA1" w:rsidRPr="00D05DE9">
              <w:rPr>
                <w:rFonts w:eastAsia="Calibri"/>
                <w:szCs w:val="22"/>
              </w:rPr>
              <w:t>tonnageskatteordningen udvides med borerig</w:t>
            </w:r>
            <w:r>
              <w:rPr>
                <w:rFonts w:eastAsia="Calibri"/>
                <w:szCs w:val="22"/>
              </w:rPr>
              <w:t xml:space="preserve">ge og </w:t>
            </w:r>
            <w:r w:rsidR="00175AA1" w:rsidRPr="00D05DE9">
              <w:rPr>
                <w:rFonts w:eastAsia="Calibri"/>
                <w:szCs w:val="22"/>
              </w:rPr>
              <w:t>boreskibe</w:t>
            </w:r>
            <w:r w:rsidR="004360E8" w:rsidRPr="00D05DE9">
              <w:rPr>
                <w:rFonts w:eastAsia="Calibri"/>
                <w:szCs w:val="22"/>
              </w:rPr>
              <w:t>.</w:t>
            </w:r>
          </w:p>
        </w:tc>
        <w:tc>
          <w:tcPr>
            <w:tcW w:w="230" w:type="dxa"/>
            <w:shd w:val="clear" w:color="auto" w:fill="FFFFFF" w:themeFill="background1"/>
          </w:tcPr>
          <w:p w:rsidR="00815F28" w:rsidRPr="00B5346F" w:rsidRDefault="00815F28" w:rsidP="00712257"/>
        </w:tc>
        <w:tc>
          <w:tcPr>
            <w:tcW w:w="3443" w:type="dxa"/>
            <w:tcBorders>
              <w:top w:val="single" w:sz="4" w:space="0" w:color="14143C" w:themeColor="accent1"/>
              <w:bottom w:val="single" w:sz="4" w:space="0" w:color="14143C" w:themeColor="accent1"/>
            </w:tcBorders>
            <w:shd w:val="clear" w:color="auto" w:fill="D2CED8"/>
          </w:tcPr>
          <w:p w:rsidR="00815F28" w:rsidRDefault="005D7E78" w:rsidP="004006A5">
            <w:pPr>
              <w:pStyle w:val="Tabel-BrdtekstmedafstandptekstGaramond"/>
            </w:pPr>
            <w:r>
              <w:t xml:space="preserve">Der henvises til kommentaren til </w:t>
            </w:r>
            <w:r w:rsidR="004006A5">
              <w:t xml:space="preserve">Danmarks Rederiforening. </w:t>
            </w:r>
          </w:p>
          <w:p w:rsidR="007E4519" w:rsidRDefault="007E4519" w:rsidP="004006A5">
            <w:pPr>
              <w:pStyle w:val="Tabel-BrdtekstmedafstandptekstGaramond"/>
            </w:pPr>
          </w:p>
          <w:p w:rsidR="007E4519" w:rsidRDefault="007E4519" w:rsidP="004006A5">
            <w:pPr>
              <w:pStyle w:val="Tabel-BrdtekstmedafstandptekstGaramond"/>
            </w:pPr>
          </w:p>
          <w:p w:rsidR="007E4519" w:rsidRDefault="007E4519" w:rsidP="004006A5">
            <w:pPr>
              <w:pStyle w:val="Tabel-BrdtekstmedafstandptekstGaramond"/>
            </w:pPr>
          </w:p>
          <w:p w:rsidR="007E4519" w:rsidRDefault="007E4519" w:rsidP="004006A5">
            <w:pPr>
              <w:pStyle w:val="Tabel-BrdtekstmedafstandptekstGaramond"/>
            </w:pPr>
          </w:p>
          <w:p w:rsidR="007E4519" w:rsidRDefault="007E4519" w:rsidP="004006A5">
            <w:pPr>
              <w:pStyle w:val="Tabel-BrdtekstmedafstandptekstGaramond"/>
            </w:pPr>
          </w:p>
          <w:p w:rsidR="007E4519" w:rsidRDefault="007E4519" w:rsidP="004006A5">
            <w:pPr>
              <w:pStyle w:val="Tabel-BrdtekstmedafstandptekstGaramond"/>
            </w:pPr>
          </w:p>
          <w:p w:rsidR="007E4519" w:rsidRPr="00B5346F" w:rsidRDefault="007E4519" w:rsidP="004006A5">
            <w:pPr>
              <w:pStyle w:val="Tabel-BrdtekstmedafstandptekstGaramond"/>
            </w:pPr>
            <w:r>
              <w:t xml:space="preserve">Der henvises til kommentaren til </w:t>
            </w:r>
            <w:r>
              <w:lastRenderedPageBreak/>
              <w:t>Danmarks Rederiforening.</w:t>
            </w:r>
          </w:p>
        </w:tc>
      </w:tr>
      <w:tr w:rsidR="00AD25E5" w:rsidRPr="00B5346F" w:rsidTr="004D2BD7">
        <w:tc>
          <w:tcPr>
            <w:tcW w:w="2310" w:type="dxa"/>
            <w:tcBorders>
              <w:top w:val="single" w:sz="4" w:space="0" w:color="D1C5C3" w:themeColor="accent3"/>
              <w:bottom w:val="single" w:sz="4" w:space="0" w:color="D1C5C3" w:themeColor="accent3"/>
            </w:tcBorders>
            <w:shd w:val="clear" w:color="auto" w:fill="FBF9F9"/>
          </w:tcPr>
          <w:p w:rsidR="00AD25E5" w:rsidRDefault="00AD25E5" w:rsidP="00F4130A">
            <w:pPr>
              <w:pStyle w:val="Tabel-BrdtekstmedafstandptekstGaramond"/>
              <w:rPr>
                <w:i/>
              </w:rPr>
            </w:pPr>
            <w:r>
              <w:rPr>
                <w:i/>
              </w:rPr>
              <w:lastRenderedPageBreak/>
              <w:t>Rederiforen</w:t>
            </w:r>
            <w:r w:rsidR="00F4130A">
              <w:rPr>
                <w:i/>
              </w:rPr>
              <w:t>ingen</w:t>
            </w:r>
            <w:r>
              <w:rPr>
                <w:i/>
              </w:rPr>
              <w:t xml:space="preserve"> af 2010</w:t>
            </w:r>
          </w:p>
        </w:tc>
        <w:tc>
          <w:tcPr>
            <w:tcW w:w="213" w:type="dxa"/>
            <w:shd w:val="clear" w:color="auto" w:fill="FFFFFF" w:themeFill="background1"/>
          </w:tcPr>
          <w:p w:rsidR="00AD25E5" w:rsidRPr="00B5346F" w:rsidRDefault="00AD25E5" w:rsidP="00712257"/>
        </w:tc>
        <w:tc>
          <w:tcPr>
            <w:tcW w:w="3443" w:type="dxa"/>
            <w:tcBorders>
              <w:top w:val="single" w:sz="4" w:space="0" w:color="D1C5C3" w:themeColor="accent3"/>
              <w:bottom w:val="single" w:sz="4" w:space="0" w:color="D1C5C3" w:themeColor="accent3"/>
            </w:tcBorders>
            <w:shd w:val="clear" w:color="auto" w:fill="FBF9F9"/>
          </w:tcPr>
          <w:p w:rsidR="00AD25E5" w:rsidRPr="00B5346F" w:rsidRDefault="00932B08" w:rsidP="00712257">
            <w:pPr>
              <w:pStyle w:val="Tabel-BrdtekstmedafstandptekstGaramond"/>
            </w:pPr>
            <w:r>
              <w:t>Se svar fra Danmarks Rederifo</w:t>
            </w:r>
            <w:r>
              <w:t>r</w:t>
            </w:r>
            <w:r>
              <w:t xml:space="preserve">ening. </w:t>
            </w:r>
          </w:p>
        </w:tc>
        <w:tc>
          <w:tcPr>
            <w:tcW w:w="230" w:type="dxa"/>
            <w:shd w:val="clear" w:color="auto" w:fill="FFFFFF" w:themeFill="background1"/>
          </w:tcPr>
          <w:p w:rsidR="00AD25E5" w:rsidRPr="00B5346F" w:rsidRDefault="00AD25E5" w:rsidP="00712257"/>
        </w:tc>
        <w:tc>
          <w:tcPr>
            <w:tcW w:w="3443" w:type="dxa"/>
            <w:tcBorders>
              <w:top w:val="single" w:sz="4" w:space="0" w:color="14143C" w:themeColor="accent1"/>
              <w:bottom w:val="single" w:sz="4" w:space="0" w:color="14143C" w:themeColor="accent1"/>
            </w:tcBorders>
            <w:shd w:val="clear" w:color="auto" w:fill="D2CED8"/>
          </w:tcPr>
          <w:p w:rsidR="00AD25E5" w:rsidRPr="00B5346F" w:rsidRDefault="00AD25E5" w:rsidP="00712257">
            <w:pPr>
              <w:pStyle w:val="Tabel-BrdtekstmedafstandptekstGaramond"/>
            </w:pPr>
          </w:p>
        </w:tc>
      </w:tr>
      <w:tr w:rsidR="00600E3E" w:rsidRPr="00B5346F" w:rsidTr="004D2BD7">
        <w:tc>
          <w:tcPr>
            <w:tcW w:w="2310" w:type="dxa"/>
            <w:tcBorders>
              <w:top w:val="single" w:sz="4" w:space="0" w:color="D1C5C3" w:themeColor="accent3"/>
              <w:bottom w:val="single" w:sz="4" w:space="0" w:color="D1C5C3" w:themeColor="accent3"/>
            </w:tcBorders>
            <w:shd w:val="clear" w:color="auto" w:fill="FBF9F9"/>
          </w:tcPr>
          <w:p w:rsidR="00600E3E" w:rsidRPr="00600E3E" w:rsidRDefault="00691750" w:rsidP="00691750">
            <w:pPr>
              <w:pStyle w:val="Tabel-BrdtekstmedafstandptekstGaramond"/>
              <w:rPr>
                <w:i/>
              </w:rPr>
            </w:pPr>
            <w:r>
              <w:rPr>
                <w:i/>
              </w:rPr>
              <w:t xml:space="preserve">SRF </w:t>
            </w:r>
            <w:r w:rsidR="00B002D4">
              <w:rPr>
                <w:i/>
              </w:rPr>
              <w:t>Skattefaglig Fo</w:t>
            </w:r>
            <w:r w:rsidR="00B002D4">
              <w:rPr>
                <w:i/>
              </w:rPr>
              <w:t>r</w:t>
            </w:r>
            <w:r w:rsidR="00B002D4">
              <w:rPr>
                <w:i/>
              </w:rPr>
              <w:t>ening</w:t>
            </w:r>
          </w:p>
        </w:tc>
        <w:tc>
          <w:tcPr>
            <w:tcW w:w="213" w:type="dxa"/>
            <w:shd w:val="clear" w:color="auto" w:fill="FFFFFF" w:themeFill="background1"/>
          </w:tcPr>
          <w:p w:rsidR="00600E3E" w:rsidRPr="00B5346F" w:rsidRDefault="00600E3E" w:rsidP="00712257"/>
        </w:tc>
        <w:tc>
          <w:tcPr>
            <w:tcW w:w="3443" w:type="dxa"/>
            <w:tcBorders>
              <w:top w:val="single" w:sz="4" w:space="0" w:color="D1C5C3" w:themeColor="accent3"/>
              <w:bottom w:val="single" w:sz="4" w:space="0" w:color="D1C5C3" w:themeColor="accent3"/>
            </w:tcBorders>
            <w:shd w:val="clear" w:color="auto" w:fill="FBF9F9"/>
          </w:tcPr>
          <w:p w:rsidR="00600E3E" w:rsidRPr="00B5346F" w:rsidRDefault="00D05DE9" w:rsidP="00712257">
            <w:pPr>
              <w:pStyle w:val="Tabel-BrdtekstmedafstandptekstGaramond"/>
            </w:pPr>
            <w:r>
              <w:t>Har ingen bemærkninger til lo</w:t>
            </w:r>
            <w:r>
              <w:t>v</w:t>
            </w:r>
            <w:r>
              <w:t>forslaget.</w:t>
            </w:r>
          </w:p>
        </w:tc>
        <w:tc>
          <w:tcPr>
            <w:tcW w:w="230" w:type="dxa"/>
            <w:shd w:val="clear" w:color="auto" w:fill="FFFFFF" w:themeFill="background1"/>
          </w:tcPr>
          <w:p w:rsidR="00600E3E" w:rsidRPr="00B5346F" w:rsidRDefault="00600E3E" w:rsidP="00712257"/>
        </w:tc>
        <w:tc>
          <w:tcPr>
            <w:tcW w:w="3443" w:type="dxa"/>
            <w:tcBorders>
              <w:top w:val="single" w:sz="4" w:space="0" w:color="14143C" w:themeColor="accent1"/>
              <w:bottom w:val="single" w:sz="4" w:space="0" w:color="14143C" w:themeColor="accent1"/>
            </w:tcBorders>
            <w:shd w:val="clear" w:color="auto" w:fill="D2CED8"/>
          </w:tcPr>
          <w:p w:rsidR="00600E3E" w:rsidRPr="00B5346F" w:rsidRDefault="00600E3E" w:rsidP="00712257">
            <w:pPr>
              <w:pStyle w:val="Tabel-BrdtekstmedafstandptekstGaramond"/>
            </w:pPr>
          </w:p>
        </w:tc>
      </w:tr>
      <w:tr w:rsidR="00B67851" w:rsidRPr="00B5346F" w:rsidTr="004D2BD7">
        <w:tc>
          <w:tcPr>
            <w:tcW w:w="2310" w:type="dxa"/>
            <w:tcBorders>
              <w:top w:val="single" w:sz="4" w:space="0" w:color="D1C5C3" w:themeColor="accent3"/>
              <w:bottom w:val="single" w:sz="4" w:space="0" w:color="D1C5C3" w:themeColor="accent3"/>
            </w:tcBorders>
            <w:shd w:val="clear" w:color="auto" w:fill="FBF9F9"/>
          </w:tcPr>
          <w:p w:rsidR="00B67851" w:rsidRDefault="00B67851" w:rsidP="00815F28">
            <w:pPr>
              <w:pStyle w:val="Tabel-BrdtekstmedafstandptekstGaramond"/>
              <w:rPr>
                <w:i/>
              </w:rPr>
            </w:pPr>
            <w:r>
              <w:rPr>
                <w:i/>
              </w:rPr>
              <w:t>Søfartens Ledere</w:t>
            </w:r>
          </w:p>
        </w:tc>
        <w:tc>
          <w:tcPr>
            <w:tcW w:w="213" w:type="dxa"/>
            <w:shd w:val="clear" w:color="auto" w:fill="FFFFFF" w:themeFill="background1"/>
          </w:tcPr>
          <w:p w:rsidR="00B67851" w:rsidRPr="00B5346F" w:rsidRDefault="00B67851" w:rsidP="00712257"/>
        </w:tc>
        <w:tc>
          <w:tcPr>
            <w:tcW w:w="3443" w:type="dxa"/>
            <w:tcBorders>
              <w:top w:val="single" w:sz="4" w:space="0" w:color="D1C5C3" w:themeColor="accent3"/>
              <w:bottom w:val="single" w:sz="4" w:space="0" w:color="D1C5C3" w:themeColor="accent3"/>
            </w:tcBorders>
            <w:shd w:val="clear" w:color="auto" w:fill="FBF9F9"/>
          </w:tcPr>
          <w:p w:rsidR="00F4130A" w:rsidRDefault="00F4130A" w:rsidP="004E1D31">
            <w:pPr>
              <w:ind w:left="171"/>
            </w:pPr>
          </w:p>
          <w:p w:rsidR="00F4130A" w:rsidRDefault="00F4130A" w:rsidP="004E1D31">
            <w:pPr>
              <w:ind w:left="171"/>
            </w:pPr>
            <w:r>
              <w:t>Søfartens Ledere beklager</w:t>
            </w:r>
            <w:r w:rsidR="0028032C">
              <w:t xml:space="preserve"> indle</w:t>
            </w:r>
            <w:r w:rsidR="0028032C">
              <w:t>d</w:t>
            </w:r>
            <w:r w:rsidR="0028032C">
              <w:t>ningsvist</w:t>
            </w:r>
            <w:r>
              <w:t>, at lovforslaget ikke har v</w:t>
            </w:r>
            <w:r>
              <w:t>æ</w:t>
            </w:r>
            <w:r>
              <w:t>ret sendt til flere af branchens faglige organisationer i forbindelse med h</w:t>
            </w:r>
            <w:r>
              <w:t>ø</w:t>
            </w:r>
            <w:r>
              <w:t>ringen.</w:t>
            </w:r>
          </w:p>
          <w:p w:rsidR="00F4130A" w:rsidRDefault="00F4130A" w:rsidP="004E1D31">
            <w:pPr>
              <w:ind w:left="171"/>
            </w:pPr>
          </w:p>
          <w:p w:rsidR="00C258D7" w:rsidRPr="00D05DE9" w:rsidRDefault="00A56395" w:rsidP="004E1D31">
            <w:pPr>
              <w:ind w:left="171"/>
              <w:rPr>
                <w:rFonts w:eastAsia="Calibri"/>
                <w:szCs w:val="22"/>
              </w:rPr>
            </w:pPr>
            <w:r>
              <w:t xml:space="preserve">Søfartens Ledere </w:t>
            </w:r>
            <w:r w:rsidR="0028032C">
              <w:t>støtter</w:t>
            </w:r>
            <w:r>
              <w:t xml:space="preserve"> </w:t>
            </w:r>
            <w:r w:rsidR="008675F7">
              <w:t>den foreslå</w:t>
            </w:r>
            <w:r w:rsidR="008675F7">
              <w:t>e</w:t>
            </w:r>
            <w:r w:rsidR="008675F7">
              <w:t xml:space="preserve">de </w:t>
            </w:r>
            <w:r>
              <w:t>udvidelse</w:t>
            </w:r>
            <w:r w:rsidR="009E4E96">
              <w:t xml:space="preserve"> a</w:t>
            </w:r>
            <w:r>
              <w:t>f tonnageskatteordni</w:t>
            </w:r>
            <w:r>
              <w:t>n</w:t>
            </w:r>
            <w:r>
              <w:t xml:space="preserve">gen med </w:t>
            </w:r>
            <w:r w:rsidR="0028032C">
              <w:t xml:space="preserve">de berørte </w:t>
            </w:r>
            <w:r>
              <w:t>specialskibe</w:t>
            </w:r>
            <w:r w:rsidR="000B08D1">
              <w:t xml:space="preserve">. </w:t>
            </w:r>
            <w:r w:rsidR="0028032C">
              <w:t xml:space="preserve">Det fremlagte forslag er </w:t>
            </w:r>
            <w:r w:rsidR="002951E5">
              <w:t xml:space="preserve">ifølge Søfartens Ledere </w:t>
            </w:r>
            <w:r w:rsidR="0028032C">
              <w:t xml:space="preserve">et godt skridt i retning af at sikre den fortsatte positive udvikling i dette segment, men det er vigtigt, at Danmark går videre. Det er </w:t>
            </w:r>
            <w:r w:rsidR="008675F7">
              <w:t xml:space="preserve">således </w:t>
            </w:r>
            <w:r w:rsidR="0028032C">
              <w:t>erfaringsmæssigt afg</w:t>
            </w:r>
            <w:r w:rsidR="0028032C">
              <w:t>ø</w:t>
            </w:r>
            <w:r w:rsidR="0028032C">
              <w:t xml:space="preserve">rende for valget af dansk flag og </w:t>
            </w:r>
            <w:r w:rsidR="008675F7">
              <w:t xml:space="preserve">for </w:t>
            </w:r>
            <w:r w:rsidR="0028032C">
              <w:t xml:space="preserve">brugen af danske søfolk, at skibenes besætning også </w:t>
            </w:r>
            <w:r w:rsidR="0028032C">
              <w:lastRenderedPageBreak/>
              <w:t>bliver omfa</w:t>
            </w:r>
            <w:r w:rsidR="0028032C">
              <w:t>t</w:t>
            </w:r>
            <w:r w:rsidR="0028032C">
              <w:t xml:space="preserve">tet af DIS-ordningen. </w:t>
            </w:r>
            <w:r w:rsidR="008675F7">
              <w:t xml:space="preserve">Det er derfor ønsket, at </w:t>
            </w:r>
            <w:r w:rsidR="00C258D7" w:rsidRPr="00D05DE9">
              <w:rPr>
                <w:rFonts w:eastAsia="Calibri"/>
                <w:szCs w:val="22"/>
              </w:rPr>
              <w:t>DIS</w:t>
            </w:r>
            <w:r w:rsidR="008675F7">
              <w:rPr>
                <w:rFonts w:eastAsia="Calibri"/>
                <w:szCs w:val="22"/>
              </w:rPr>
              <w:t>-</w:t>
            </w:r>
            <w:r w:rsidR="00C258D7" w:rsidRPr="00D05DE9">
              <w:rPr>
                <w:rFonts w:eastAsia="Calibri"/>
                <w:szCs w:val="22"/>
              </w:rPr>
              <w:t>ordningen</w:t>
            </w:r>
            <w:r w:rsidR="008675F7">
              <w:rPr>
                <w:rFonts w:eastAsia="Calibri"/>
                <w:szCs w:val="22"/>
              </w:rPr>
              <w:t xml:space="preserve"> udvides</w:t>
            </w:r>
            <w:r w:rsidR="00C258D7" w:rsidRPr="00D05DE9">
              <w:rPr>
                <w:rFonts w:eastAsia="Calibri"/>
                <w:szCs w:val="22"/>
              </w:rPr>
              <w:t xml:space="preserve"> på samme måde som tonn</w:t>
            </w:r>
            <w:r w:rsidR="00C258D7" w:rsidRPr="00D05DE9">
              <w:rPr>
                <w:rFonts w:eastAsia="Calibri"/>
                <w:szCs w:val="22"/>
              </w:rPr>
              <w:t>a</w:t>
            </w:r>
            <w:r w:rsidR="00AC4029">
              <w:rPr>
                <w:rFonts w:eastAsia="Calibri"/>
                <w:szCs w:val="22"/>
              </w:rPr>
              <w:t>geskatte</w:t>
            </w:r>
            <w:r w:rsidR="00535FFB">
              <w:rPr>
                <w:rFonts w:eastAsia="Calibri"/>
                <w:szCs w:val="22"/>
              </w:rPr>
              <w:t>or</w:t>
            </w:r>
            <w:r w:rsidR="00535FFB">
              <w:rPr>
                <w:rFonts w:eastAsia="Calibri"/>
                <w:szCs w:val="22"/>
              </w:rPr>
              <w:t>d</w:t>
            </w:r>
            <w:r w:rsidR="00535FFB">
              <w:rPr>
                <w:rFonts w:eastAsia="Calibri"/>
                <w:szCs w:val="22"/>
              </w:rPr>
              <w:t>ningen</w:t>
            </w:r>
            <w:r w:rsidR="00C258D7" w:rsidRPr="00D05DE9">
              <w:rPr>
                <w:rFonts w:eastAsia="Calibri"/>
                <w:szCs w:val="22"/>
              </w:rPr>
              <w:t>.</w:t>
            </w:r>
          </w:p>
          <w:p w:rsidR="00C258D7" w:rsidRPr="00D05DE9" w:rsidRDefault="00C258D7" w:rsidP="004E1D31">
            <w:pPr>
              <w:ind w:left="171"/>
              <w:rPr>
                <w:rFonts w:eastAsia="Calibri"/>
                <w:szCs w:val="22"/>
              </w:rPr>
            </w:pPr>
            <w:r w:rsidRPr="00D05DE9">
              <w:rPr>
                <w:rFonts w:eastAsia="Calibri"/>
                <w:szCs w:val="22"/>
              </w:rPr>
              <w:t> </w:t>
            </w:r>
          </w:p>
          <w:p w:rsidR="007B1698" w:rsidRDefault="008675F7" w:rsidP="004E1D31">
            <w:pPr>
              <w:ind w:left="171"/>
              <w:rPr>
                <w:rFonts w:eastAsia="Calibri"/>
                <w:szCs w:val="22"/>
              </w:rPr>
            </w:pPr>
            <w:r>
              <w:rPr>
                <w:rFonts w:eastAsia="Calibri"/>
                <w:szCs w:val="22"/>
              </w:rPr>
              <w:t>Søfartens Ledere mener, at det er a</w:t>
            </w:r>
            <w:r>
              <w:rPr>
                <w:rFonts w:eastAsia="Calibri"/>
                <w:szCs w:val="22"/>
              </w:rPr>
              <w:t>f</w:t>
            </w:r>
            <w:r>
              <w:rPr>
                <w:rFonts w:eastAsia="Calibri"/>
                <w:szCs w:val="22"/>
              </w:rPr>
              <w:t>gørende, at lovforslaget også udvider tonnageskatteloven med de aktivit</w:t>
            </w:r>
            <w:r>
              <w:rPr>
                <w:rFonts w:eastAsia="Calibri"/>
                <w:szCs w:val="22"/>
              </w:rPr>
              <w:t>e</w:t>
            </w:r>
            <w:r>
              <w:rPr>
                <w:rFonts w:eastAsia="Calibri"/>
                <w:szCs w:val="22"/>
              </w:rPr>
              <w:t xml:space="preserve">ter, som </w:t>
            </w:r>
            <w:r w:rsidR="00853DBE">
              <w:rPr>
                <w:rFonts w:eastAsia="Calibri"/>
                <w:szCs w:val="22"/>
              </w:rPr>
              <w:t xml:space="preserve">borerigge og </w:t>
            </w:r>
            <w:r>
              <w:rPr>
                <w:rFonts w:eastAsia="Calibri"/>
                <w:szCs w:val="22"/>
              </w:rPr>
              <w:t>boreskibe udf</w:t>
            </w:r>
            <w:r>
              <w:rPr>
                <w:rFonts w:eastAsia="Calibri"/>
                <w:szCs w:val="22"/>
              </w:rPr>
              <w:t>ø</w:t>
            </w:r>
            <w:r>
              <w:rPr>
                <w:rFonts w:eastAsia="Calibri"/>
                <w:szCs w:val="22"/>
              </w:rPr>
              <w:t xml:space="preserve">rer. Det anføres, at </w:t>
            </w:r>
            <w:r w:rsidR="00853DBE">
              <w:rPr>
                <w:rFonts w:eastAsia="Calibri"/>
                <w:szCs w:val="22"/>
              </w:rPr>
              <w:t xml:space="preserve">disse fartøjstyper i de </w:t>
            </w:r>
            <w:r>
              <w:rPr>
                <w:rFonts w:eastAsia="Calibri"/>
                <w:szCs w:val="22"/>
              </w:rPr>
              <w:t>senere år har fået mulighed for at blive registreret og drevet inden for søfartsordningen i Singapore, og at dette har betydet, at tilgangen af nye enheder til Danmark er stoppet.</w:t>
            </w:r>
            <w:r w:rsidR="00853DBE">
              <w:rPr>
                <w:rFonts w:eastAsia="Calibri"/>
                <w:szCs w:val="22"/>
              </w:rPr>
              <w:t xml:space="preserve"> Det er derfor nødvendigt at udvide tonn</w:t>
            </w:r>
            <w:r w:rsidR="00853DBE">
              <w:rPr>
                <w:rFonts w:eastAsia="Calibri"/>
                <w:szCs w:val="22"/>
              </w:rPr>
              <w:t>a</w:t>
            </w:r>
            <w:r w:rsidR="00853DBE">
              <w:rPr>
                <w:rFonts w:eastAsia="Calibri"/>
                <w:szCs w:val="22"/>
              </w:rPr>
              <w:t>geskatteordningen for at sikre, at b</w:t>
            </w:r>
            <w:r w:rsidR="00853DBE">
              <w:rPr>
                <w:rFonts w:eastAsia="Calibri"/>
                <w:szCs w:val="22"/>
              </w:rPr>
              <w:t>o</w:t>
            </w:r>
            <w:r w:rsidR="00853DBE">
              <w:rPr>
                <w:rFonts w:eastAsia="Calibri"/>
                <w:szCs w:val="22"/>
              </w:rPr>
              <w:t>rerigge og boreskibe også fremover bliver ejet, registreret og drevet fra Danmark. Dette vil sikre en fortsat vækst i beskæftigelsen af højt special</w:t>
            </w:r>
            <w:r w:rsidR="00853DBE">
              <w:rPr>
                <w:rFonts w:eastAsia="Calibri"/>
                <w:szCs w:val="22"/>
              </w:rPr>
              <w:t>i</w:t>
            </w:r>
            <w:r w:rsidR="00853DBE">
              <w:rPr>
                <w:rFonts w:eastAsia="Calibri"/>
                <w:szCs w:val="22"/>
              </w:rPr>
              <w:t>seret arbejdskraft på disse enheder og på land, samt betydelige afledte aktiv</w:t>
            </w:r>
            <w:r w:rsidR="00853DBE">
              <w:rPr>
                <w:rFonts w:eastAsia="Calibri"/>
                <w:szCs w:val="22"/>
              </w:rPr>
              <w:t>i</w:t>
            </w:r>
            <w:r w:rsidR="00853DBE">
              <w:rPr>
                <w:rFonts w:eastAsia="Calibri"/>
                <w:szCs w:val="22"/>
              </w:rPr>
              <w:t>tets- og beskæftigelseseffekter.</w:t>
            </w:r>
          </w:p>
          <w:p w:rsidR="0096011E" w:rsidRDefault="00853DBE" w:rsidP="000702FB">
            <w:pPr>
              <w:pStyle w:val="Tabel-BrdtekstmedafstandptekstGaramond"/>
            </w:pPr>
            <w:r>
              <w:t xml:space="preserve">Der </w:t>
            </w:r>
            <w:r w:rsidR="000702FB" w:rsidRPr="004E46B4">
              <w:t>opfordre</w:t>
            </w:r>
            <w:r>
              <w:t>s</w:t>
            </w:r>
            <w:r w:rsidR="000702FB" w:rsidRPr="004E46B4">
              <w:t xml:space="preserve"> til, at </w:t>
            </w:r>
            <w:r>
              <w:t>S</w:t>
            </w:r>
            <w:r w:rsidR="000702FB" w:rsidRPr="004E46B4">
              <w:t>katteminist</w:t>
            </w:r>
            <w:r w:rsidR="000702FB" w:rsidRPr="004E46B4">
              <w:t>e</w:t>
            </w:r>
            <w:r w:rsidR="000702FB" w:rsidRPr="004E46B4">
              <w:t xml:space="preserve">riet og regeringen fortsat arbejder på, at sandpumpere og stenfiskere </w:t>
            </w:r>
            <w:r>
              <w:t>kan komme ind under</w:t>
            </w:r>
            <w:r w:rsidR="000702FB" w:rsidRPr="004E46B4">
              <w:t xml:space="preserve"> tonnag</w:t>
            </w:r>
            <w:r w:rsidR="000702FB" w:rsidRPr="004E46B4">
              <w:t>e</w:t>
            </w:r>
            <w:r w:rsidR="000702FB" w:rsidRPr="004E46B4">
              <w:t>skatteordningen og DIS-ordningen.</w:t>
            </w:r>
          </w:p>
          <w:p w:rsidR="0096011E" w:rsidRDefault="0096011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853DBE" w:rsidRDefault="00853DBE" w:rsidP="000702FB">
            <w:pPr>
              <w:pStyle w:val="Tabel-BrdtekstmedafstandptekstGaramond"/>
            </w:pPr>
          </w:p>
          <w:p w:rsidR="0096011E" w:rsidRPr="004E46B4" w:rsidRDefault="0096011E" w:rsidP="000702FB">
            <w:pPr>
              <w:pStyle w:val="Tabel-BrdtekstmedafstandptekstGaramond"/>
            </w:pPr>
            <w:r w:rsidRPr="004E46B4">
              <w:t>Endelig støtter Søfartens ledere Dansk Metals bemærkninger o</w:t>
            </w:r>
            <w:r w:rsidRPr="004E46B4">
              <w:t>m</w:t>
            </w:r>
            <w:r w:rsidRPr="004E46B4">
              <w:t xml:space="preserve">kring § 10, stk. 2 og 3, i </w:t>
            </w:r>
            <w:r>
              <w:t>lov om Dansk Internationalt Skibsregister.</w:t>
            </w:r>
          </w:p>
          <w:p w:rsidR="000702FB" w:rsidRDefault="000702FB" w:rsidP="000702FB"/>
        </w:tc>
        <w:tc>
          <w:tcPr>
            <w:tcW w:w="230" w:type="dxa"/>
            <w:shd w:val="clear" w:color="auto" w:fill="FFFFFF" w:themeFill="background1"/>
          </w:tcPr>
          <w:p w:rsidR="00B67851" w:rsidRPr="00B5346F" w:rsidRDefault="00B67851" w:rsidP="00712257"/>
        </w:tc>
        <w:tc>
          <w:tcPr>
            <w:tcW w:w="3443" w:type="dxa"/>
            <w:tcBorders>
              <w:top w:val="single" w:sz="4" w:space="0" w:color="14143C" w:themeColor="accent1"/>
              <w:bottom w:val="single" w:sz="4" w:space="0" w:color="14143C" w:themeColor="accent1"/>
            </w:tcBorders>
            <w:shd w:val="clear" w:color="auto" w:fill="D2CED8"/>
          </w:tcPr>
          <w:p w:rsidR="00F4130A" w:rsidRDefault="00F4130A" w:rsidP="00145A09">
            <w:pPr>
              <w:pStyle w:val="Tabel-BrdtekstmedafstandptekstGaramond"/>
            </w:pPr>
            <w:r>
              <w:t>Der henvises til kommentaren til Fagligt Fælles Forbund – 3F.</w:t>
            </w:r>
          </w:p>
          <w:p w:rsidR="00F4130A" w:rsidRDefault="00F4130A" w:rsidP="00145A09">
            <w:pPr>
              <w:pStyle w:val="Tabel-BrdtekstmedafstandptekstGaramond"/>
            </w:pPr>
          </w:p>
          <w:p w:rsidR="00F4130A" w:rsidRDefault="00F4130A" w:rsidP="00145A09">
            <w:pPr>
              <w:pStyle w:val="Tabel-BrdtekstmedafstandptekstGaramond"/>
            </w:pPr>
          </w:p>
          <w:p w:rsidR="00F4130A" w:rsidRDefault="00F4130A" w:rsidP="00145A09">
            <w:pPr>
              <w:pStyle w:val="Tabel-BrdtekstmedafstandptekstGaramond"/>
            </w:pPr>
            <w:bookmarkStart w:id="1" w:name="_GoBack"/>
            <w:bookmarkEnd w:id="1"/>
          </w:p>
          <w:p w:rsidR="0028032C" w:rsidRDefault="0028032C" w:rsidP="00145A09">
            <w:pPr>
              <w:pStyle w:val="Tabel-BrdtekstmedafstandptekstGaramond"/>
            </w:pPr>
          </w:p>
          <w:p w:rsidR="00145A09" w:rsidRDefault="00145A09" w:rsidP="00145A09">
            <w:pPr>
              <w:pStyle w:val="Tabel-BrdtekstmedafstandptekstGaramond"/>
            </w:pPr>
            <w:r>
              <w:t xml:space="preserve">Der henvises til kommentaren til </w:t>
            </w:r>
            <w:r w:rsidR="007E17D4">
              <w:t>Bech-Bruun</w:t>
            </w:r>
            <w:r>
              <w:t>.</w:t>
            </w:r>
          </w:p>
          <w:p w:rsidR="008E68FF" w:rsidRDefault="008E68FF" w:rsidP="00145A09">
            <w:pPr>
              <w:pStyle w:val="Tabel-BrdtekstmedafstandptekstGaramond"/>
            </w:pPr>
          </w:p>
          <w:p w:rsidR="0096011E" w:rsidRDefault="0096011E" w:rsidP="008E68FF">
            <w:pPr>
              <w:pStyle w:val="Tabel-BrdtekstmedafstandptekstGaramond"/>
            </w:pPr>
          </w:p>
          <w:p w:rsidR="0096011E" w:rsidRDefault="0096011E" w:rsidP="008E68FF">
            <w:pPr>
              <w:pStyle w:val="Tabel-BrdtekstmedafstandptekstGaramond"/>
            </w:pPr>
          </w:p>
          <w:p w:rsidR="0028032C" w:rsidRDefault="0028032C"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675F7" w:rsidRDefault="008675F7" w:rsidP="00F51073">
            <w:pPr>
              <w:pStyle w:val="Tabel-BrdtekstmedafstandptekstGaramond"/>
            </w:pPr>
          </w:p>
          <w:p w:rsidR="00853DBE" w:rsidRDefault="00853DBE" w:rsidP="00F51073">
            <w:pPr>
              <w:pStyle w:val="Tabel-BrdtekstmedafstandptekstGaramond"/>
            </w:pPr>
          </w:p>
          <w:p w:rsidR="00853DBE" w:rsidRDefault="00853DBE" w:rsidP="00F51073">
            <w:pPr>
              <w:pStyle w:val="Tabel-BrdtekstmedafstandptekstGaramond"/>
            </w:pPr>
          </w:p>
          <w:p w:rsidR="0096011E" w:rsidRDefault="005D7026" w:rsidP="00F51073">
            <w:pPr>
              <w:pStyle w:val="Tabel-BrdtekstmedafstandptekstGaramond"/>
            </w:pPr>
            <w:r>
              <w:t>Der henvises til kommentaren til Danmarks Rederiforening.</w:t>
            </w:r>
          </w:p>
          <w:p w:rsidR="0096011E" w:rsidRDefault="0096011E" w:rsidP="008E68FF">
            <w:pPr>
              <w:pStyle w:val="Tabel-BrdtekstmedafstandptekstGaramond"/>
            </w:pPr>
          </w:p>
          <w:p w:rsidR="009153CE" w:rsidRDefault="009153C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53DBE" w:rsidRDefault="00853DBE" w:rsidP="008E68FF">
            <w:pPr>
              <w:pStyle w:val="Tabel-BrdtekstmedafstandptekstGaramond"/>
            </w:pPr>
          </w:p>
          <w:p w:rsidR="008E68FF" w:rsidRDefault="008E68FF" w:rsidP="008E68FF">
            <w:pPr>
              <w:pStyle w:val="Tabel-BrdtekstmedafstandptekstGaramond"/>
            </w:pPr>
            <w:r>
              <w:t>Sømandsbeskatningsloven ind</w:t>
            </w:r>
            <w:r>
              <w:t>e</w:t>
            </w:r>
            <w:r>
              <w:t>holder en refusionsordning for stenfiskerfartøjer herunder san</w:t>
            </w:r>
            <w:r>
              <w:t>d</w:t>
            </w:r>
            <w:r>
              <w:t>sugere. Som det fremgår af fora</w:t>
            </w:r>
            <w:r>
              <w:t>r</w:t>
            </w:r>
            <w:r>
              <w:t>bejderne til sømandsbeskatning</w:t>
            </w:r>
            <w:r>
              <w:t>s</w:t>
            </w:r>
            <w:r>
              <w:t>loven i lovforslag L 94, Folketinget 2004-05, 2. samling, vil det på grund af de særlige restriktioner, som EU-retningslinjerne indeho</w:t>
            </w:r>
            <w:r>
              <w:t>l</w:t>
            </w:r>
            <w:r>
              <w:t>der for sandsugere</w:t>
            </w:r>
            <w:r w:rsidR="00A702AD">
              <w:t>,</w:t>
            </w:r>
            <w:r>
              <w:t xml:space="preserve"> være vanskeligt at administrere en skattefritage</w:t>
            </w:r>
            <w:r>
              <w:t>l</w:t>
            </w:r>
            <w:r>
              <w:t>sesordning som DIS-ordningen for disse fartøjer. I stedet er der indført en refusionsordning som erstatning for muligheden for at anvende DIS-ordningen for pe</w:t>
            </w:r>
            <w:r>
              <w:t>r</w:t>
            </w:r>
            <w:r>
              <w:t xml:space="preserve">soner, der arbejder om bord på sandsugere. Der er ingen planer om at ændre refusionsordningen. </w:t>
            </w:r>
          </w:p>
          <w:p w:rsidR="008E68FF" w:rsidRDefault="008E68FF" w:rsidP="008E68FF">
            <w:pPr>
              <w:pStyle w:val="Tabel-BrdtekstmedafstandptekstGaramond"/>
            </w:pPr>
          </w:p>
          <w:p w:rsidR="008E68FF" w:rsidRDefault="008E68FF" w:rsidP="008E68FF">
            <w:pPr>
              <w:pStyle w:val="Tabel-BrdtekstmedafstandptekstGaramond"/>
            </w:pPr>
            <w:r>
              <w:lastRenderedPageBreak/>
              <w:t xml:space="preserve">Der henvises til kommentaren til </w:t>
            </w:r>
            <w:r w:rsidR="007E17D4">
              <w:t>Dansk Metal</w:t>
            </w:r>
            <w:r>
              <w:t>.</w:t>
            </w:r>
          </w:p>
          <w:p w:rsidR="00B67851" w:rsidRPr="00B5346F" w:rsidRDefault="00B67851" w:rsidP="00712257">
            <w:pPr>
              <w:pStyle w:val="Tabel-BrdtekstmedafstandptekstGaramond"/>
            </w:pPr>
          </w:p>
        </w:tc>
      </w:tr>
    </w:tbl>
    <w:p w:rsidR="00600E3E" w:rsidRPr="00F37F63" w:rsidRDefault="00600E3E" w:rsidP="002B3C73">
      <w:pPr>
        <w:keepNext/>
        <w:keepLines/>
      </w:pPr>
    </w:p>
    <w:sectPr w:rsidR="00600E3E" w:rsidRPr="00F37F63"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02" w:rsidRDefault="008E6802" w:rsidP="009E4B94">
      <w:pPr>
        <w:spacing w:line="240" w:lineRule="auto"/>
      </w:pPr>
      <w:r>
        <w:separator/>
      </w:r>
    </w:p>
  </w:endnote>
  <w:endnote w:type="continuationSeparator" w:id="0">
    <w:p w:rsidR="008E6802" w:rsidRDefault="008E680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Default="008E680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Pr="00681D83" w:rsidRDefault="008E6802"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802" w:rsidRPr="00094ABD" w:rsidRDefault="008E6802"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667C0">
                            <w:rPr>
                              <w:rStyle w:val="Sidetal"/>
                              <w:noProof/>
                            </w:rPr>
                            <w:t>23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667C0">
                            <w:rPr>
                              <w:rStyle w:val="Sidetal"/>
                              <w:noProof/>
                            </w:rPr>
                            <w:t>23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8E6802" w:rsidRPr="00094ABD" w:rsidRDefault="008E6802"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667C0">
                      <w:rPr>
                        <w:rStyle w:val="Sidetal"/>
                        <w:noProof/>
                      </w:rPr>
                      <w:t>23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667C0">
                      <w:rPr>
                        <w:rStyle w:val="Sidetal"/>
                        <w:noProof/>
                      </w:rPr>
                      <w:t>23</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Pr="00094ABD" w:rsidRDefault="008E6802"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02" w:rsidRDefault="008E6802" w:rsidP="009E4B94">
      <w:pPr>
        <w:spacing w:line="240" w:lineRule="auto"/>
      </w:pPr>
      <w:r>
        <w:separator/>
      </w:r>
    </w:p>
  </w:footnote>
  <w:footnote w:type="continuationSeparator" w:id="0">
    <w:p w:rsidR="008E6802" w:rsidRDefault="008E680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Default="008E680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Default="008E680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2" w:rsidRDefault="008E6802"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E2226A4"/>
    <w:multiLevelType w:val="hybridMultilevel"/>
    <w:tmpl w:val="712638C8"/>
    <w:lvl w:ilvl="0" w:tplc="CF80ECF0">
      <w:start w:val="1"/>
      <w:numFmt w:val="bullet"/>
      <w:lvlText w:val="-"/>
      <w:lvlJc w:val="left"/>
      <w:pPr>
        <w:ind w:left="947" w:hanging="360"/>
      </w:pPr>
      <w:rPr>
        <w:rFonts w:ascii="Garamond" w:eastAsiaTheme="minorHAnsi" w:hAnsi="Garamond" w:cstheme="minorBidi"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0">
    <w:nsid w:val="32AF14C0"/>
    <w:multiLevelType w:val="hybridMultilevel"/>
    <w:tmpl w:val="350A15C0"/>
    <w:lvl w:ilvl="0" w:tplc="BC3A8C4E">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1">
    <w:nsid w:val="4BC05AB6"/>
    <w:multiLevelType w:val="hybridMultilevel"/>
    <w:tmpl w:val="A20C1284"/>
    <w:lvl w:ilvl="0" w:tplc="B502C26E">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2">
    <w:nsid w:val="63E1773F"/>
    <w:multiLevelType w:val="hybridMultilevel"/>
    <w:tmpl w:val="BE6E2A2E"/>
    <w:lvl w:ilvl="0" w:tplc="914C9F46">
      <w:start w:val="1"/>
      <w:numFmt w:val="lowerLetter"/>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3">
    <w:nsid w:val="68F72C2B"/>
    <w:multiLevelType w:val="multilevel"/>
    <w:tmpl w:val="945048C2"/>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4">
    <w:nsid w:val="71AE5F45"/>
    <w:multiLevelType w:val="multilevel"/>
    <w:tmpl w:val="E5B60C36"/>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5">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3"/>
  </w:num>
  <w:num w:numId="15">
    <w:abstractNumId w:val="10"/>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02D4"/>
    <w:rsid w:val="000014A2"/>
    <w:rsid w:val="00001D5B"/>
    <w:rsid w:val="0000255F"/>
    <w:rsid w:val="00004865"/>
    <w:rsid w:val="00005600"/>
    <w:rsid w:val="00006F66"/>
    <w:rsid w:val="0000703F"/>
    <w:rsid w:val="000074A2"/>
    <w:rsid w:val="000100C4"/>
    <w:rsid w:val="000136D5"/>
    <w:rsid w:val="000141AD"/>
    <w:rsid w:val="00014569"/>
    <w:rsid w:val="00015153"/>
    <w:rsid w:val="0001534C"/>
    <w:rsid w:val="00017063"/>
    <w:rsid w:val="00017586"/>
    <w:rsid w:val="00022335"/>
    <w:rsid w:val="00025850"/>
    <w:rsid w:val="00025AB8"/>
    <w:rsid w:val="0002656E"/>
    <w:rsid w:val="00027617"/>
    <w:rsid w:val="00030763"/>
    <w:rsid w:val="00030F87"/>
    <w:rsid w:val="00031250"/>
    <w:rsid w:val="00031285"/>
    <w:rsid w:val="000317DB"/>
    <w:rsid w:val="0003342C"/>
    <w:rsid w:val="00034937"/>
    <w:rsid w:val="00034A85"/>
    <w:rsid w:val="00035229"/>
    <w:rsid w:val="0003691E"/>
    <w:rsid w:val="000407E5"/>
    <w:rsid w:val="00040C5A"/>
    <w:rsid w:val="00041DE3"/>
    <w:rsid w:val="000421D5"/>
    <w:rsid w:val="000423FF"/>
    <w:rsid w:val="0004255B"/>
    <w:rsid w:val="00043CA4"/>
    <w:rsid w:val="00044995"/>
    <w:rsid w:val="00045E50"/>
    <w:rsid w:val="000467AF"/>
    <w:rsid w:val="0004732C"/>
    <w:rsid w:val="00050004"/>
    <w:rsid w:val="00050B0D"/>
    <w:rsid w:val="00051622"/>
    <w:rsid w:val="0005201A"/>
    <w:rsid w:val="00053E64"/>
    <w:rsid w:val="00055E17"/>
    <w:rsid w:val="00062109"/>
    <w:rsid w:val="000623D9"/>
    <w:rsid w:val="00066A26"/>
    <w:rsid w:val="000702FB"/>
    <w:rsid w:val="00072DE9"/>
    <w:rsid w:val="00072DF1"/>
    <w:rsid w:val="00081169"/>
    <w:rsid w:val="00081FE6"/>
    <w:rsid w:val="000822BB"/>
    <w:rsid w:val="0008353A"/>
    <w:rsid w:val="000836FD"/>
    <w:rsid w:val="00084DC9"/>
    <w:rsid w:val="00085236"/>
    <w:rsid w:val="00086812"/>
    <w:rsid w:val="000901FD"/>
    <w:rsid w:val="00090DDD"/>
    <w:rsid w:val="00090F5F"/>
    <w:rsid w:val="00092278"/>
    <w:rsid w:val="0009417B"/>
    <w:rsid w:val="000942D7"/>
    <w:rsid w:val="00094ABD"/>
    <w:rsid w:val="00095198"/>
    <w:rsid w:val="00096974"/>
    <w:rsid w:val="00096D4D"/>
    <w:rsid w:val="000A2B94"/>
    <w:rsid w:val="000A3572"/>
    <w:rsid w:val="000A42E7"/>
    <w:rsid w:val="000A52BD"/>
    <w:rsid w:val="000A64CF"/>
    <w:rsid w:val="000B08D1"/>
    <w:rsid w:val="000B2946"/>
    <w:rsid w:val="000B3E52"/>
    <w:rsid w:val="000B78C2"/>
    <w:rsid w:val="000C020E"/>
    <w:rsid w:val="000C051B"/>
    <w:rsid w:val="000C2D98"/>
    <w:rsid w:val="000C2FB4"/>
    <w:rsid w:val="000C4289"/>
    <w:rsid w:val="000C4DD7"/>
    <w:rsid w:val="000C64CA"/>
    <w:rsid w:val="000C6781"/>
    <w:rsid w:val="000D1EAB"/>
    <w:rsid w:val="000D2AE5"/>
    <w:rsid w:val="000D4D24"/>
    <w:rsid w:val="000D65C5"/>
    <w:rsid w:val="000D69DD"/>
    <w:rsid w:val="000D7997"/>
    <w:rsid w:val="000E0168"/>
    <w:rsid w:val="000E02A3"/>
    <w:rsid w:val="000E236C"/>
    <w:rsid w:val="000E24FA"/>
    <w:rsid w:val="000E51EF"/>
    <w:rsid w:val="000E5317"/>
    <w:rsid w:val="000E55BC"/>
    <w:rsid w:val="000E581A"/>
    <w:rsid w:val="000E7C32"/>
    <w:rsid w:val="000F047E"/>
    <w:rsid w:val="000F2571"/>
    <w:rsid w:val="000F2C3F"/>
    <w:rsid w:val="000F3271"/>
    <w:rsid w:val="000F4D15"/>
    <w:rsid w:val="000F686B"/>
    <w:rsid w:val="00100800"/>
    <w:rsid w:val="00100EB8"/>
    <w:rsid w:val="00102618"/>
    <w:rsid w:val="00102E78"/>
    <w:rsid w:val="00103EAB"/>
    <w:rsid w:val="0010540C"/>
    <w:rsid w:val="00106CF1"/>
    <w:rsid w:val="00110915"/>
    <w:rsid w:val="00111E8B"/>
    <w:rsid w:val="001129B7"/>
    <w:rsid w:val="00120741"/>
    <w:rsid w:val="00121584"/>
    <w:rsid w:val="001216E9"/>
    <w:rsid w:val="00122682"/>
    <w:rsid w:val="001231CC"/>
    <w:rsid w:val="0012362E"/>
    <w:rsid w:val="0012419E"/>
    <w:rsid w:val="001246C8"/>
    <w:rsid w:val="00125C0D"/>
    <w:rsid w:val="00125EB8"/>
    <w:rsid w:val="00126A08"/>
    <w:rsid w:val="00126D0B"/>
    <w:rsid w:val="001270D2"/>
    <w:rsid w:val="001278A8"/>
    <w:rsid w:val="00127940"/>
    <w:rsid w:val="00130598"/>
    <w:rsid w:val="00130F79"/>
    <w:rsid w:val="00131F5D"/>
    <w:rsid w:val="0013244F"/>
    <w:rsid w:val="00132A06"/>
    <w:rsid w:val="00132D25"/>
    <w:rsid w:val="0013602B"/>
    <w:rsid w:val="00136251"/>
    <w:rsid w:val="00136406"/>
    <w:rsid w:val="001374A8"/>
    <w:rsid w:val="001376DA"/>
    <w:rsid w:val="00140EFC"/>
    <w:rsid w:val="00141134"/>
    <w:rsid w:val="00142B97"/>
    <w:rsid w:val="001430B4"/>
    <w:rsid w:val="00145A09"/>
    <w:rsid w:val="00145FB8"/>
    <w:rsid w:val="0015177E"/>
    <w:rsid w:val="00153A14"/>
    <w:rsid w:val="00153F40"/>
    <w:rsid w:val="00156853"/>
    <w:rsid w:val="001574F1"/>
    <w:rsid w:val="00161AF0"/>
    <w:rsid w:val="001630F2"/>
    <w:rsid w:val="001636F2"/>
    <w:rsid w:val="00164C36"/>
    <w:rsid w:val="00165D2F"/>
    <w:rsid w:val="00167E90"/>
    <w:rsid w:val="00171E4D"/>
    <w:rsid w:val="00175AA1"/>
    <w:rsid w:val="00176F48"/>
    <w:rsid w:val="00181396"/>
    <w:rsid w:val="00181A0E"/>
    <w:rsid w:val="00182651"/>
    <w:rsid w:val="00182FDC"/>
    <w:rsid w:val="00185217"/>
    <w:rsid w:val="00185342"/>
    <w:rsid w:val="00185D52"/>
    <w:rsid w:val="001863A7"/>
    <w:rsid w:val="00190C05"/>
    <w:rsid w:val="001912E6"/>
    <w:rsid w:val="00191F8B"/>
    <w:rsid w:val="00192D15"/>
    <w:rsid w:val="00193385"/>
    <w:rsid w:val="001941B5"/>
    <w:rsid w:val="00195222"/>
    <w:rsid w:val="001A0AEB"/>
    <w:rsid w:val="001A1420"/>
    <w:rsid w:val="001A2678"/>
    <w:rsid w:val="001A3B77"/>
    <w:rsid w:val="001A4174"/>
    <w:rsid w:val="001A61BC"/>
    <w:rsid w:val="001B0DFD"/>
    <w:rsid w:val="001B0E33"/>
    <w:rsid w:val="001B17F1"/>
    <w:rsid w:val="001B3B15"/>
    <w:rsid w:val="001B4099"/>
    <w:rsid w:val="001B6B56"/>
    <w:rsid w:val="001C0B25"/>
    <w:rsid w:val="001C1265"/>
    <w:rsid w:val="001C1AC7"/>
    <w:rsid w:val="001C1E12"/>
    <w:rsid w:val="001C1FCE"/>
    <w:rsid w:val="001C35D5"/>
    <w:rsid w:val="001C41B0"/>
    <w:rsid w:val="001C5E50"/>
    <w:rsid w:val="001C6137"/>
    <w:rsid w:val="001C635E"/>
    <w:rsid w:val="001D0093"/>
    <w:rsid w:val="001D1BB4"/>
    <w:rsid w:val="001D30D4"/>
    <w:rsid w:val="001D506E"/>
    <w:rsid w:val="001D6BD9"/>
    <w:rsid w:val="001E09A7"/>
    <w:rsid w:val="001E1F7E"/>
    <w:rsid w:val="001E2321"/>
    <w:rsid w:val="001E3A4B"/>
    <w:rsid w:val="001E4926"/>
    <w:rsid w:val="001E5016"/>
    <w:rsid w:val="001E50A9"/>
    <w:rsid w:val="001E6572"/>
    <w:rsid w:val="001E7127"/>
    <w:rsid w:val="001E75D8"/>
    <w:rsid w:val="001E79CC"/>
    <w:rsid w:val="001E79D1"/>
    <w:rsid w:val="001E7BB4"/>
    <w:rsid w:val="001F003C"/>
    <w:rsid w:val="001F22D4"/>
    <w:rsid w:val="001F2396"/>
    <w:rsid w:val="001F34EF"/>
    <w:rsid w:val="001F3617"/>
    <w:rsid w:val="001F374B"/>
    <w:rsid w:val="00202C6F"/>
    <w:rsid w:val="00203DE6"/>
    <w:rsid w:val="00204E10"/>
    <w:rsid w:val="0020647D"/>
    <w:rsid w:val="002075C5"/>
    <w:rsid w:val="00207BEC"/>
    <w:rsid w:val="00210555"/>
    <w:rsid w:val="00210CB0"/>
    <w:rsid w:val="0021169A"/>
    <w:rsid w:val="00212864"/>
    <w:rsid w:val="00212D82"/>
    <w:rsid w:val="0021648E"/>
    <w:rsid w:val="002179B3"/>
    <w:rsid w:val="002204DF"/>
    <w:rsid w:val="0022201B"/>
    <w:rsid w:val="0022582F"/>
    <w:rsid w:val="002274B2"/>
    <w:rsid w:val="002277E9"/>
    <w:rsid w:val="002301C3"/>
    <w:rsid w:val="002339D6"/>
    <w:rsid w:val="00233A83"/>
    <w:rsid w:val="00234B89"/>
    <w:rsid w:val="0024068D"/>
    <w:rsid w:val="00240F1D"/>
    <w:rsid w:val="00244D70"/>
    <w:rsid w:val="00245FC2"/>
    <w:rsid w:val="0024678B"/>
    <w:rsid w:val="002506A4"/>
    <w:rsid w:val="00251FEC"/>
    <w:rsid w:val="0025249D"/>
    <w:rsid w:val="0025250B"/>
    <w:rsid w:val="002528EF"/>
    <w:rsid w:val="002537A0"/>
    <w:rsid w:val="00253F4D"/>
    <w:rsid w:val="002549CD"/>
    <w:rsid w:val="002555A8"/>
    <w:rsid w:val="00255864"/>
    <w:rsid w:val="00255FB9"/>
    <w:rsid w:val="00256030"/>
    <w:rsid w:val="00261A3D"/>
    <w:rsid w:val="00263904"/>
    <w:rsid w:val="0026468A"/>
    <w:rsid w:val="002667C0"/>
    <w:rsid w:val="00266EF7"/>
    <w:rsid w:val="00267514"/>
    <w:rsid w:val="00267738"/>
    <w:rsid w:val="00273E3F"/>
    <w:rsid w:val="00274DDB"/>
    <w:rsid w:val="00274F26"/>
    <w:rsid w:val="0028032C"/>
    <w:rsid w:val="00280500"/>
    <w:rsid w:val="002849B0"/>
    <w:rsid w:val="00286AC4"/>
    <w:rsid w:val="002870F4"/>
    <w:rsid w:val="00291249"/>
    <w:rsid w:val="00291462"/>
    <w:rsid w:val="00294202"/>
    <w:rsid w:val="002951E5"/>
    <w:rsid w:val="002A0186"/>
    <w:rsid w:val="002A07A3"/>
    <w:rsid w:val="002A2AB0"/>
    <w:rsid w:val="002A4131"/>
    <w:rsid w:val="002A425E"/>
    <w:rsid w:val="002A6C37"/>
    <w:rsid w:val="002B3C73"/>
    <w:rsid w:val="002B4F45"/>
    <w:rsid w:val="002B5511"/>
    <w:rsid w:val="002C258E"/>
    <w:rsid w:val="002C36FD"/>
    <w:rsid w:val="002C38FD"/>
    <w:rsid w:val="002C3C83"/>
    <w:rsid w:val="002C3FB0"/>
    <w:rsid w:val="002C4933"/>
    <w:rsid w:val="002C4CD1"/>
    <w:rsid w:val="002C5E42"/>
    <w:rsid w:val="002D2380"/>
    <w:rsid w:val="002D2468"/>
    <w:rsid w:val="002D33BC"/>
    <w:rsid w:val="002D42C4"/>
    <w:rsid w:val="002D53CA"/>
    <w:rsid w:val="002D58EA"/>
    <w:rsid w:val="002D5A09"/>
    <w:rsid w:val="002D6B01"/>
    <w:rsid w:val="002D7B0F"/>
    <w:rsid w:val="002E233E"/>
    <w:rsid w:val="002E30A1"/>
    <w:rsid w:val="002E31D0"/>
    <w:rsid w:val="002E409A"/>
    <w:rsid w:val="002E6B15"/>
    <w:rsid w:val="002E74A4"/>
    <w:rsid w:val="002F0B57"/>
    <w:rsid w:val="002F46FD"/>
    <w:rsid w:val="00300978"/>
    <w:rsid w:val="00302222"/>
    <w:rsid w:val="00302887"/>
    <w:rsid w:val="0030630C"/>
    <w:rsid w:val="003065A1"/>
    <w:rsid w:val="003075A8"/>
    <w:rsid w:val="00310E14"/>
    <w:rsid w:val="0031129C"/>
    <w:rsid w:val="0031266D"/>
    <w:rsid w:val="003135FA"/>
    <w:rsid w:val="00314566"/>
    <w:rsid w:val="0031619D"/>
    <w:rsid w:val="00316205"/>
    <w:rsid w:val="00316FA3"/>
    <w:rsid w:val="003172E0"/>
    <w:rsid w:val="00317950"/>
    <w:rsid w:val="00322807"/>
    <w:rsid w:val="00322E43"/>
    <w:rsid w:val="003248CB"/>
    <w:rsid w:val="00330495"/>
    <w:rsid w:val="0033516A"/>
    <w:rsid w:val="003354A6"/>
    <w:rsid w:val="00335D88"/>
    <w:rsid w:val="003372B9"/>
    <w:rsid w:val="00337359"/>
    <w:rsid w:val="003452CE"/>
    <w:rsid w:val="00345347"/>
    <w:rsid w:val="00345C01"/>
    <w:rsid w:val="00345F79"/>
    <w:rsid w:val="00346464"/>
    <w:rsid w:val="00346797"/>
    <w:rsid w:val="00350D0A"/>
    <w:rsid w:val="00350D8A"/>
    <w:rsid w:val="00351C70"/>
    <w:rsid w:val="00352594"/>
    <w:rsid w:val="0035387D"/>
    <w:rsid w:val="00354D8C"/>
    <w:rsid w:val="00355271"/>
    <w:rsid w:val="00356960"/>
    <w:rsid w:val="00363A26"/>
    <w:rsid w:val="00364EDE"/>
    <w:rsid w:val="003667EA"/>
    <w:rsid w:val="003674DF"/>
    <w:rsid w:val="00367941"/>
    <w:rsid w:val="00367B7B"/>
    <w:rsid w:val="00370C60"/>
    <w:rsid w:val="00371B0A"/>
    <w:rsid w:val="0037269E"/>
    <w:rsid w:val="00372D97"/>
    <w:rsid w:val="003744F1"/>
    <w:rsid w:val="003745DA"/>
    <w:rsid w:val="00374A6F"/>
    <w:rsid w:val="00374BF9"/>
    <w:rsid w:val="00375940"/>
    <w:rsid w:val="00380239"/>
    <w:rsid w:val="00380809"/>
    <w:rsid w:val="00384667"/>
    <w:rsid w:val="00384F34"/>
    <w:rsid w:val="00385C45"/>
    <w:rsid w:val="00386A3A"/>
    <w:rsid w:val="00391306"/>
    <w:rsid w:val="00391425"/>
    <w:rsid w:val="00392067"/>
    <w:rsid w:val="00392785"/>
    <w:rsid w:val="0039479C"/>
    <w:rsid w:val="0039511F"/>
    <w:rsid w:val="00395A5B"/>
    <w:rsid w:val="00396A83"/>
    <w:rsid w:val="003A07C9"/>
    <w:rsid w:val="003A6131"/>
    <w:rsid w:val="003A63C6"/>
    <w:rsid w:val="003B358E"/>
    <w:rsid w:val="003B35B0"/>
    <w:rsid w:val="003B3FDE"/>
    <w:rsid w:val="003C04A3"/>
    <w:rsid w:val="003C30A1"/>
    <w:rsid w:val="003C3B45"/>
    <w:rsid w:val="003C4F9F"/>
    <w:rsid w:val="003C60F1"/>
    <w:rsid w:val="003C6254"/>
    <w:rsid w:val="003D64E9"/>
    <w:rsid w:val="003D7883"/>
    <w:rsid w:val="003D7BF1"/>
    <w:rsid w:val="003D7E6E"/>
    <w:rsid w:val="003E167A"/>
    <w:rsid w:val="003E1AD9"/>
    <w:rsid w:val="003E589A"/>
    <w:rsid w:val="003E614D"/>
    <w:rsid w:val="003F072D"/>
    <w:rsid w:val="003F0F5D"/>
    <w:rsid w:val="003F4E86"/>
    <w:rsid w:val="003F52AC"/>
    <w:rsid w:val="003F5517"/>
    <w:rsid w:val="003F5DBA"/>
    <w:rsid w:val="004006A5"/>
    <w:rsid w:val="004009AF"/>
    <w:rsid w:val="00404705"/>
    <w:rsid w:val="00404BF7"/>
    <w:rsid w:val="00404E5E"/>
    <w:rsid w:val="004103A4"/>
    <w:rsid w:val="00411BCC"/>
    <w:rsid w:val="00411FA8"/>
    <w:rsid w:val="00412E14"/>
    <w:rsid w:val="00413969"/>
    <w:rsid w:val="004141C6"/>
    <w:rsid w:val="00415896"/>
    <w:rsid w:val="00416196"/>
    <w:rsid w:val="00423317"/>
    <w:rsid w:val="00424709"/>
    <w:rsid w:val="00425F90"/>
    <w:rsid w:val="00425FDD"/>
    <w:rsid w:val="00426F07"/>
    <w:rsid w:val="004277F1"/>
    <w:rsid w:val="004360E8"/>
    <w:rsid w:val="00436477"/>
    <w:rsid w:val="00437C4B"/>
    <w:rsid w:val="00440C84"/>
    <w:rsid w:val="00441525"/>
    <w:rsid w:val="0044221F"/>
    <w:rsid w:val="0044269C"/>
    <w:rsid w:val="00443304"/>
    <w:rsid w:val="004448D9"/>
    <w:rsid w:val="00446687"/>
    <w:rsid w:val="00446D7A"/>
    <w:rsid w:val="00447E83"/>
    <w:rsid w:val="004505E8"/>
    <w:rsid w:val="00450675"/>
    <w:rsid w:val="004519E6"/>
    <w:rsid w:val="00454F97"/>
    <w:rsid w:val="00455537"/>
    <w:rsid w:val="004564CF"/>
    <w:rsid w:val="004610DC"/>
    <w:rsid w:val="0046128B"/>
    <w:rsid w:val="004643AB"/>
    <w:rsid w:val="00466136"/>
    <w:rsid w:val="004710DB"/>
    <w:rsid w:val="004722BA"/>
    <w:rsid w:val="004767CB"/>
    <w:rsid w:val="00477E01"/>
    <w:rsid w:val="004809D4"/>
    <w:rsid w:val="00483202"/>
    <w:rsid w:val="00484640"/>
    <w:rsid w:val="00487EE1"/>
    <w:rsid w:val="004903B9"/>
    <w:rsid w:val="00490873"/>
    <w:rsid w:val="004913F5"/>
    <w:rsid w:val="00491D5C"/>
    <w:rsid w:val="004921A8"/>
    <w:rsid w:val="00496341"/>
    <w:rsid w:val="00497FD9"/>
    <w:rsid w:val="004A00C5"/>
    <w:rsid w:val="004A0E74"/>
    <w:rsid w:val="004A1E25"/>
    <w:rsid w:val="004A24B4"/>
    <w:rsid w:val="004A3256"/>
    <w:rsid w:val="004A3356"/>
    <w:rsid w:val="004A39C6"/>
    <w:rsid w:val="004A43F6"/>
    <w:rsid w:val="004A5600"/>
    <w:rsid w:val="004B07FE"/>
    <w:rsid w:val="004B0A37"/>
    <w:rsid w:val="004B50B8"/>
    <w:rsid w:val="004B5150"/>
    <w:rsid w:val="004C01B2"/>
    <w:rsid w:val="004C0AB4"/>
    <w:rsid w:val="004C3E08"/>
    <w:rsid w:val="004C61F8"/>
    <w:rsid w:val="004C65E5"/>
    <w:rsid w:val="004D0057"/>
    <w:rsid w:val="004D0A20"/>
    <w:rsid w:val="004D1125"/>
    <w:rsid w:val="004D1152"/>
    <w:rsid w:val="004D2BD7"/>
    <w:rsid w:val="004D2D7A"/>
    <w:rsid w:val="004D3496"/>
    <w:rsid w:val="004D4441"/>
    <w:rsid w:val="004D46CB"/>
    <w:rsid w:val="004D68BC"/>
    <w:rsid w:val="004E0059"/>
    <w:rsid w:val="004E1AA1"/>
    <w:rsid w:val="004E1D31"/>
    <w:rsid w:val="004E57AD"/>
    <w:rsid w:val="004E5F29"/>
    <w:rsid w:val="004E5FA3"/>
    <w:rsid w:val="004E644D"/>
    <w:rsid w:val="004E74EC"/>
    <w:rsid w:val="004F10CF"/>
    <w:rsid w:val="004F33A4"/>
    <w:rsid w:val="004F7160"/>
    <w:rsid w:val="004F75D5"/>
    <w:rsid w:val="004F76FB"/>
    <w:rsid w:val="00500733"/>
    <w:rsid w:val="00500D04"/>
    <w:rsid w:val="0050122C"/>
    <w:rsid w:val="00502106"/>
    <w:rsid w:val="0050247F"/>
    <w:rsid w:val="00503680"/>
    <w:rsid w:val="005036DB"/>
    <w:rsid w:val="00504882"/>
    <w:rsid w:val="00505EF1"/>
    <w:rsid w:val="005063A5"/>
    <w:rsid w:val="00510568"/>
    <w:rsid w:val="00514637"/>
    <w:rsid w:val="00516550"/>
    <w:rsid w:val="00521275"/>
    <w:rsid w:val="00522DA7"/>
    <w:rsid w:val="00524318"/>
    <w:rsid w:val="00525897"/>
    <w:rsid w:val="00530844"/>
    <w:rsid w:val="00530A82"/>
    <w:rsid w:val="00531379"/>
    <w:rsid w:val="00532181"/>
    <w:rsid w:val="00534CFE"/>
    <w:rsid w:val="00535188"/>
    <w:rsid w:val="005351EB"/>
    <w:rsid w:val="00535490"/>
    <w:rsid w:val="00535FFB"/>
    <w:rsid w:val="0053662E"/>
    <w:rsid w:val="00536944"/>
    <w:rsid w:val="00536A68"/>
    <w:rsid w:val="005402E2"/>
    <w:rsid w:val="0054065C"/>
    <w:rsid w:val="00540A51"/>
    <w:rsid w:val="005425F0"/>
    <w:rsid w:val="00543F5A"/>
    <w:rsid w:val="00546077"/>
    <w:rsid w:val="005466F2"/>
    <w:rsid w:val="00546F20"/>
    <w:rsid w:val="005518C6"/>
    <w:rsid w:val="0055240F"/>
    <w:rsid w:val="005538E1"/>
    <w:rsid w:val="00553BDD"/>
    <w:rsid w:val="00554651"/>
    <w:rsid w:val="00554E07"/>
    <w:rsid w:val="005555F5"/>
    <w:rsid w:val="00556575"/>
    <w:rsid w:val="00560A69"/>
    <w:rsid w:val="00560BC8"/>
    <w:rsid w:val="00560F77"/>
    <w:rsid w:val="00561F84"/>
    <w:rsid w:val="0056216B"/>
    <w:rsid w:val="0056234B"/>
    <w:rsid w:val="005625A2"/>
    <w:rsid w:val="00562DFF"/>
    <w:rsid w:val="00563670"/>
    <w:rsid w:val="00563829"/>
    <w:rsid w:val="005726CC"/>
    <w:rsid w:val="0057613E"/>
    <w:rsid w:val="00583F5F"/>
    <w:rsid w:val="00590F8A"/>
    <w:rsid w:val="00591AC0"/>
    <w:rsid w:val="00594E07"/>
    <w:rsid w:val="005A060F"/>
    <w:rsid w:val="005A09DF"/>
    <w:rsid w:val="005A28D4"/>
    <w:rsid w:val="005A42AF"/>
    <w:rsid w:val="005A5977"/>
    <w:rsid w:val="005A67A1"/>
    <w:rsid w:val="005A690E"/>
    <w:rsid w:val="005B15FF"/>
    <w:rsid w:val="005B4028"/>
    <w:rsid w:val="005C1E1A"/>
    <w:rsid w:val="005C28CE"/>
    <w:rsid w:val="005C5F97"/>
    <w:rsid w:val="005C64B0"/>
    <w:rsid w:val="005C6C56"/>
    <w:rsid w:val="005D0C6D"/>
    <w:rsid w:val="005D1AFD"/>
    <w:rsid w:val="005D50EA"/>
    <w:rsid w:val="005D6849"/>
    <w:rsid w:val="005D6F88"/>
    <w:rsid w:val="005D7026"/>
    <w:rsid w:val="005D7E78"/>
    <w:rsid w:val="005E0BDB"/>
    <w:rsid w:val="005E16FF"/>
    <w:rsid w:val="005E6044"/>
    <w:rsid w:val="005F0BE6"/>
    <w:rsid w:val="005F1580"/>
    <w:rsid w:val="005F210D"/>
    <w:rsid w:val="005F21C2"/>
    <w:rsid w:val="005F2351"/>
    <w:rsid w:val="005F2353"/>
    <w:rsid w:val="005F32C6"/>
    <w:rsid w:val="005F3364"/>
    <w:rsid w:val="005F3493"/>
    <w:rsid w:val="005F3631"/>
    <w:rsid w:val="005F3ED8"/>
    <w:rsid w:val="005F5A39"/>
    <w:rsid w:val="005F659E"/>
    <w:rsid w:val="005F7309"/>
    <w:rsid w:val="005F7320"/>
    <w:rsid w:val="005F74DD"/>
    <w:rsid w:val="00600E3E"/>
    <w:rsid w:val="00600EFB"/>
    <w:rsid w:val="0060402E"/>
    <w:rsid w:val="006072B1"/>
    <w:rsid w:val="00607AF0"/>
    <w:rsid w:val="006100F0"/>
    <w:rsid w:val="00610140"/>
    <w:rsid w:val="0061244B"/>
    <w:rsid w:val="00613243"/>
    <w:rsid w:val="006132D1"/>
    <w:rsid w:val="006144E2"/>
    <w:rsid w:val="00614968"/>
    <w:rsid w:val="006215BE"/>
    <w:rsid w:val="00622C50"/>
    <w:rsid w:val="00625CA6"/>
    <w:rsid w:val="00627C27"/>
    <w:rsid w:val="00631F19"/>
    <w:rsid w:val="006324AB"/>
    <w:rsid w:val="00632B6B"/>
    <w:rsid w:val="00635E85"/>
    <w:rsid w:val="00637CAF"/>
    <w:rsid w:val="00640866"/>
    <w:rsid w:val="006428A2"/>
    <w:rsid w:val="00642CBC"/>
    <w:rsid w:val="006434E9"/>
    <w:rsid w:val="006440D4"/>
    <w:rsid w:val="00644CE0"/>
    <w:rsid w:val="00645DE3"/>
    <w:rsid w:val="00650ED8"/>
    <w:rsid w:val="00650F17"/>
    <w:rsid w:val="00651D3A"/>
    <w:rsid w:val="00655B49"/>
    <w:rsid w:val="00655E0A"/>
    <w:rsid w:val="0065669F"/>
    <w:rsid w:val="00656B14"/>
    <w:rsid w:val="00657121"/>
    <w:rsid w:val="006654EB"/>
    <w:rsid w:val="00665E9B"/>
    <w:rsid w:val="00666B5B"/>
    <w:rsid w:val="00667CCC"/>
    <w:rsid w:val="00670766"/>
    <w:rsid w:val="0067143B"/>
    <w:rsid w:val="0067386E"/>
    <w:rsid w:val="00673B22"/>
    <w:rsid w:val="00673B96"/>
    <w:rsid w:val="00673D8E"/>
    <w:rsid w:val="00673F80"/>
    <w:rsid w:val="0067470F"/>
    <w:rsid w:val="006777A3"/>
    <w:rsid w:val="00680405"/>
    <w:rsid w:val="00680CC4"/>
    <w:rsid w:val="00680FCE"/>
    <w:rsid w:val="00681ACF"/>
    <w:rsid w:val="00681AFF"/>
    <w:rsid w:val="00681D83"/>
    <w:rsid w:val="0068208B"/>
    <w:rsid w:val="006823B5"/>
    <w:rsid w:val="006837CE"/>
    <w:rsid w:val="006844BB"/>
    <w:rsid w:val="00687C0C"/>
    <w:rsid w:val="00690016"/>
    <w:rsid w:val="006900C2"/>
    <w:rsid w:val="006916B8"/>
    <w:rsid w:val="00691750"/>
    <w:rsid w:val="006921D0"/>
    <w:rsid w:val="00692E1C"/>
    <w:rsid w:val="00692F63"/>
    <w:rsid w:val="006941E6"/>
    <w:rsid w:val="00694421"/>
    <w:rsid w:val="0069443A"/>
    <w:rsid w:val="0069473C"/>
    <w:rsid w:val="006978E4"/>
    <w:rsid w:val="006A0742"/>
    <w:rsid w:val="006A5F1B"/>
    <w:rsid w:val="006A683B"/>
    <w:rsid w:val="006B0F61"/>
    <w:rsid w:val="006B1B2E"/>
    <w:rsid w:val="006B30A9"/>
    <w:rsid w:val="006B7E7A"/>
    <w:rsid w:val="006D047B"/>
    <w:rsid w:val="006D1266"/>
    <w:rsid w:val="006D43DE"/>
    <w:rsid w:val="006E1541"/>
    <w:rsid w:val="006E2B8D"/>
    <w:rsid w:val="006E3B01"/>
    <w:rsid w:val="006E3D46"/>
    <w:rsid w:val="006E5220"/>
    <w:rsid w:val="006E7F20"/>
    <w:rsid w:val="006F076C"/>
    <w:rsid w:val="006F3F17"/>
    <w:rsid w:val="006F405E"/>
    <w:rsid w:val="006F6849"/>
    <w:rsid w:val="006F7927"/>
    <w:rsid w:val="007002A6"/>
    <w:rsid w:val="00701CCF"/>
    <w:rsid w:val="00702321"/>
    <w:rsid w:val="00702611"/>
    <w:rsid w:val="0070267E"/>
    <w:rsid w:val="00703B3F"/>
    <w:rsid w:val="00705E99"/>
    <w:rsid w:val="00706D33"/>
    <w:rsid w:val="00706E32"/>
    <w:rsid w:val="00707273"/>
    <w:rsid w:val="0071022F"/>
    <w:rsid w:val="00712257"/>
    <w:rsid w:val="007134F8"/>
    <w:rsid w:val="007136F4"/>
    <w:rsid w:val="00713F98"/>
    <w:rsid w:val="007154F3"/>
    <w:rsid w:val="007246B0"/>
    <w:rsid w:val="00727E62"/>
    <w:rsid w:val="00731FB8"/>
    <w:rsid w:val="007327A9"/>
    <w:rsid w:val="00733E33"/>
    <w:rsid w:val="0073461A"/>
    <w:rsid w:val="0073508C"/>
    <w:rsid w:val="0073528F"/>
    <w:rsid w:val="00735AB2"/>
    <w:rsid w:val="00735AE1"/>
    <w:rsid w:val="00737FF9"/>
    <w:rsid w:val="00740EFC"/>
    <w:rsid w:val="007465CF"/>
    <w:rsid w:val="00750C88"/>
    <w:rsid w:val="007526A6"/>
    <w:rsid w:val="0075290C"/>
    <w:rsid w:val="00752E82"/>
    <w:rsid w:val="007546AF"/>
    <w:rsid w:val="007555DD"/>
    <w:rsid w:val="00755EF1"/>
    <w:rsid w:val="00760A7C"/>
    <w:rsid w:val="00760C18"/>
    <w:rsid w:val="00764A54"/>
    <w:rsid w:val="00765934"/>
    <w:rsid w:val="00770410"/>
    <w:rsid w:val="00771AC1"/>
    <w:rsid w:val="00773919"/>
    <w:rsid w:val="00773D15"/>
    <w:rsid w:val="00774068"/>
    <w:rsid w:val="00774C33"/>
    <w:rsid w:val="00775409"/>
    <w:rsid w:val="00780C4B"/>
    <w:rsid w:val="00781E50"/>
    <w:rsid w:val="00782392"/>
    <w:rsid w:val="00784D0C"/>
    <w:rsid w:val="00784F5E"/>
    <w:rsid w:val="007857F9"/>
    <w:rsid w:val="00786FCF"/>
    <w:rsid w:val="0078774E"/>
    <w:rsid w:val="00787C1D"/>
    <w:rsid w:val="00787E1D"/>
    <w:rsid w:val="007917A7"/>
    <w:rsid w:val="00791B1E"/>
    <w:rsid w:val="007928A6"/>
    <w:rsid w:val="00792A41"/>
    <w:rsid w:val="0079687D"/>
    <w:rsid w:val="007A1319"/>
    <w:rsid w:val="007A1B96"/>
    <w:rsid w:val="007A2A5D"/>
    <w:rsid w:val="007A2D34"/>
    <w:rsid w:val="007A5104"/>
    <w:rsid w:val="007A6F64"/>
    <w:rsid w:val="007B00D0"/>
    <w:rsid w:val="007B1698"/>
    <w:rsid w:val="007B1EEE"/>
    <w:rsid w:val="007B3450"/>
    <w:rsid w:val="007B7661"/>
    <w:rsid w:val="007C1478"/>
    <w:rsid w:val="007C2DAA"/>
    <w:rsid w:val="007C2E42"/>
    <w:rsid w:val="007C458F"/>
    <w:rsid w:val="007C5DE1"/>
    <w:rsid w:val="007D0399"/>
    <w:rsid w:val="007D08B2"/>
    <w:rsid w:val="007D1CCA"/>
    <w:rsid w:val="007D372B"/>
    <w:rsid w:val="007D5635"/>
    <w:rsid w:val="007D5910"/>
    <w:rsid w:val="007D655D"/>
    <w:rsid w:val="007E0996"/>
    <w:rsid w:val="007E0E19"/>
    <w:rsid w:val="007E17D4"/>
    <w:rsid w:val="007E1D77"/>
    <w:rsid w:val="007E24E1"/>
    <w:rsid w:val="007E2CF5"/>
    <w:rsid w:val="007E2E5F"/>
    <w:rsid w:val="007E373C"/>
    <w:rsid w:val="007E39B7"/>
    <w:rsid w:val="007E3EE0"/>
    <w:rsid w:val="007E4519"/>
    <w:rsid w:val="007E5956"/>
    <w:rsid w:val="007F1A05"/>
    <w:rsid w:val="007F2F60"/>
    <w:rsid w:val="007F3386"/>
    <w:rsid w:val="007F344E"/>
    <w:rsid w:val="007F5B7B"/>
    <w:rsid w:val="007F7497"/>
    <w:rsid w:val="007F7974"/>
    <w:rsid w:val="00801C3A"/>
    <w:rsid w:val="00801F34"/>
    <w:rsid w:val="00802D5A"/>
    <w:rsid w:val="0080373E"/>
    <w:rsid w:val="008060BD"/>
    <w:rsid w:val="008061F2"/>
    <w:rsid w:val="00806E58"/>
    <w:rsid w:val="008075FD"/>
    <w:rsid w:val="00811FF5"/>
    <w:rsid w:val="00813503"/>
    <w:rsid w:val="00814417"/>
    <w:rsid w:val="00815F28"/>
    <w:rsid w:val="0081674B"/>
    <w:rsid w:val="00817A63"/>
    <w:rsid w:val="00817F9B"/>
    <w:rsid w:val="008240E2"/>
    <w:rsid w:val="00824115"/>
    <w:rsid w:val="008253D8"/>
    <w:rsid w:val="00827AA2"/>
    <w:rsid w:val="0083000A"/>
    <w:rsid w:val="008301E1"/>
    <w:rsid w:val="00833182"/>
    <w:rsid w:val="008348A3"/>
    <w:rsid w:val="0083688F"/>
    <w:rsid w:val="0084082E"/>
    <w:rsid w:val="00844717"/>
    <w:rsid w:val="00844EDE"/>
    <w:rsid w:val="008456A4"/>
    <w:rsid w:val="00845F76"/>
    <w:rsid w:val="00847237"/>
    <w:rsid w:val="008504E1"/>
    <w:rsid w:val="008508C5"/>
    <w:rsid w:val="00851AC4"/>
    <w:rsid w:val="00851BA6"/>
    <w:rsid w:val="008531FB"/>
    <w:rsid w:val="00853C65"/>
    <w:rsid w:val="00853DBE"/>
    <w:rsid w:val="0085470B"/>
    <w:rsid w:val="00856E61"/>
    <w:rsid w:val="00857606"/>
    <w:rsid w:val="00861557"/>
    <w:rsid w:val="008615A8"/>
    <w:rsid w:val="00864554"/>
    <w:rsid w:val="008648B8"/>
    <w:rsid w:val="00864D45"/>
    <w:rsid w:val="0086516C"/>
    <w:rsid w:val="008662D3"/>
    <w:rsid w:val="008675F7"/>
    <w:rsid w:val="008704E7"/>
    <w:rsid w:val="00870F2A"/>
    <w:rsid w:val="00871234"/>
    <w:rsid w:val="00871AA2"/>
    <w:rsid w:val="00871C51"/>
    <w:rsid w:val="0087540B"/>
    <w:rsid w:val="00876027"/>
    <w:rsid w:val="00876265"/>
    <w:rsid w:val="00881F32"/>
    <w:rsid w:val="00882625"/>
    <w:rsid w:val="00886D54"/>
    <w:rsid w:val="00886E3D"/>
    <w:rsid w:val="00887B43"/>
    <w:rsid w:val="0089242B"/>
    <w:rsid w:val="00892D08"/>
    <w:rsid w:val="00893791"/>
    <w:rsid w:val="00895639"/>
    <w:rsid w:val="00895918"/>
    <w:rsid w:val="0089592A"/>
    <w:rsid w:val="008A096D"/>
    <w:rsid w:val="008A41BE"/>
    <w:rsid w:val="008A44D3"/>
    <w:rsid w:val="008A77EC"/>
    <w:rsid w:val="008B0A59"/>
    <w:rsid w:val="008B122F"/>
    <w:rsid w:val="008B2B9D"/>
    <w:rsid w:val="008B315F"/>
    <w:rsid w:val="008B49E9"/>
    <w:rsid w:val="008B5B59"/>
    <w:rsid w:val="008B5C40"/>
    <w:rsid w:val="008B6804"/>
    <w:rsid w:val="008B6AF3"/>
    <w:rsid w:val="008B797F"/>
    <w:rsid w:val="008C0C60"/>
    <w:rsid w:val="008C3953"/>
    <w:rsid w:val="008C69CA"/>
    <w:rsid w:val="008C7148"/>
    <w:rsid w:val="008C7E79"/>
    <w:rsid w:val="008D000A"/>
    <w:rsid w:val="008D1AAA"/>
    <w:rsid w:val="008D2509"/>
    <w:rsid w:val="008D5A02"/>
    <w:rsid w:val="008D73FB"/>
    <w:rsid w:val="008E020F"/>
    <w:rsid w:val="008E16EE"/>
    <w:rsid w:val="008E1768"/>
    <w:rsid w:val="008E1F04"/>
    <w:rsid w:val="008E21F2"/>
    <w:rsid w:val="008E2ECE"/>
    <w:rsid w:val="008E4C26"/>
    <w:rsid w:val="008E5A6D"/>
    <w:rsid w:val="008E5DDF"/>
    <w:rsid w:val="008E5E48"/>
    <w:rsid w:val="008E60CE"/>
    <w:rsid w:val="008E6802"/>
    <w:rsid w:val="008E68FF"/>
    <w:rsid w:val="008E70D8"/>
    <w:rsid w:val="008E7D18"/>
    <w:rsid w:val="008F1459"/>
    <w:rsid w:val="008F32DF"/>
    <w:rsid w:val="008F4D20"/>
    <w:rsid w:val="008F55AF"/>
    <w:rsid w:val="008F55D1"/>
    <w:rsid w:val="008F5726"/>
    <w:rsid w:val="008F57E6"/>
    <w:rsid w:val="00900892"/>
    <w:rsid w:val="00902C3D"/>
    <w:rsid w:val="009032A5"/>
    <w:rsid w:val="00903841"/>
    <w:rsid w:val="0090451E"/>
    <w:rsid w:val="009071A9"/>
    <w:rsid w:val="009153CE"/>
    <w:rsid w:val="009205B8"/>
    <w:rsid w:val="00920764"/>
    <w:rsid w:val="0092171B"/>
    <w:rsid w:val="0092752B"/>
    <w:rsid w:val="00927A13"/>
    <w:rsid w:val="009304B5"/>
    <w:rsid w:val="00930ECD"/>
    <w:rsid w:val="00932B08"/>
    <w:rsid w:val="00932FDD"/>
    <w:rsid w:val="009343E5"/>
    <w:rsid w:val="00934C8B"/>
    <w:rsid w:val="00936157"/>
    <w:rsid w:val="00936234"/>
    <w:rsid w:val="0093642F"/>
    <w:rsid w:val="00937A58"/>
    <w:rsid w:val="00937F18"/>
    <w:rsid w:val="00941F5C"/>
    <w:rsid w:val="00942F6E"/>
    <w:rsid w:val="00943F8B"/>
    <w:rsid w:val="009443D6"/>
    <w:rsid w:val="00944961"/>
    <w:rsid w:val="009473AB"/>
    <w:rsid w:val="0094749A"/>
    <w:rsid w:val="00947BA0"/>
    <w:rsid w:val="009501F4"/>
    <w:rsid w:val="00951B25"/>
    <w:rsid w:val="00953167"/>
    <w:rsid w:val="0095338A"/>
    <w:rsid w:val="0095353A"/>
    <w:rsid w:val="009544D0"/>
    <w:rsid w:val="009570F9"/>
    <w:rsid w:val="009574B3"/>
    <w:rsid w:val="0096004D"/>
    <w:rsid w:val="0096011E"/>
    <w:rsid w:val="009601EF"/>
    <w:rsid w:val="00964046"/>
    <w:rsid w:val="00964A8C"/>
    <w:rsid w:val="00965C38"/>
    <w:rsid w:val="00966EF7"/>
    <w:rsid w:val="009670D7"/>
    <w:rsid w:val="00967833"/>
    <w:rsid w:val="009678F1"/>
    <w:rsid w:val="00971CC0"/>
    <w:rsid w:val="009755AA"/>
    <w:rsid w:val="00976CAC"/>
    <w:rsid w:val="00980856"/>
    <w:rsid w:val="00981580"/>
    <w:rsid w:val="009825FC"/>
    <w:rsid w:val="00983B74"/>
    <w:rsid w:val="00983DE7"/>
    <w:rsid w:val="00986D8F"/>
    <w:rsid w:val="00987DC3"/>
    <w:rsid w:val="00990263"/>
    <w:rsid w:val="00991071"/>
    <w:rsid w:val="0099352D"/>
    <w:rsid w:val="00993F98"/>
    <w:rsid w:val="00994D53"/>
    <w:rsid w:val="00997A78"/>
    <w:rsid w:val="00997CEA"/>
    <w:rsid w:val="009A0B7A"/>
    <w:rsid w:val="009A2571"/>
    <w:rsid w:val="009A31EA"/>
    <w:rsid w:val="009A48A6"/>
    <w:rsid w:val="009A4CCC"/>
    <w:rsid w:val="009A4EFE"/>
    <w:rsid w:val="009B0756"/>
    <w:rsid w:val="009B1160"/>
    <w:rsid w:val="009B4114"/>
    <w:rsid w:val="009B4897"/>
    <w:rsid w:val="009C0BD1"/>
    <w:rsid w:val="009C0D27"/>
    <w:rsid w:val="009C1320"/>
    <w:rsid w:val="009C1470"/>
    <w:rsid w:val="009C16EF"/>
    <w:rsid w:val="009C1D05"/>
    <w:rsid w:val="009D0230"/>
    <w:rsid w:val="009D1B4E"/>
    <w:rsid w:val="009D200D"/>
    <w:rsid w:val="009D2226"/>
    <w:rsid w:val="009D2746"/>
    <w:rsid w:val="009D2D42"/>
    <w:rsid w:val="009D63B3"/>
    <w:rsid w:val="009D651B"/>
    <w:rsid w:val="009D6A3C"/>
    <w:rsid w:val="009D6C9B"/>
    <w:rsid w:val="009E0D00"/>
    <w:rsid w:val="009E0F4B"/>
    <w:rsid w:val="009E184B"/>
    <w:rsid w:val="009E1FA6"/>
    <w:rsid w:val="009E3542"/>
    <w:rsid w:val="009E414E"/>
    <w:rsid w:val="009E4B94"/>
    <w:rsid w:val="009E4E96"/>
    <w:rsid w:val="009E5839"/>
    <w:rsid w:val="009F07DF"/>
    <w:rsid w:val="009F18F2"/>
    <w:rsid w:val="009F1CA0"/>
    <w:rsid w:val="009F2631"/>
    <w:rsid w:val="009F2973"/>
    <w:rsid w:val="009F2D63"/>
    <w:rsid w:val="009F53D4"/>
    <w:rsid w:val="00A0068F"/>
    <w:rsid w:val="00A01A15"/>
    <w:rsid w:val="00A064AC"/>
    <w:rsid w:val="00A07379"/>
    <w:rsid w:val="00A074DC"/>
    <w:rsid w:val="00A07E1A"/>
    <w:rsid w:val="00A10FA7"/>
    <w:rsid w:val="00A116DD"/>
    <w:rsid w:val="00A139D6"/>
    <w:rsid w:val="00A15243"/>
    <w:rsid w:val="00A15616"/>
    <w:rsid w:val="00A15A4B"/>
    <w:rsid w:val="00A177D3"/>
    <w:rsid w:val="00A239DF"/>
    <w:rsid w:val="00A244CB"/>
    <w:rsid w:val="00A244F0"/>
    <w:rsid w:val="00A24B6E"/>
    <w:rsid w:val="00A262CF"/>
    <w:rsid w:val="00A30616"/>
    <w:rsid w:val="00A30619"/>
    <w:rsid w:val="00A30808"/>
    <w:rsid w:val="00A315BA"/>
    <w:rsid w:val="00A35762"/>
    <w:rsid w:val="00A360A6"/>
    <w:rsid w:val="00A36A7F"/>
    <w:rsid w:val="00A37146"/>
    <w:rsid w:val="00A375D5"/>
    <w:rsid w:val="00A41F4B"/>
    <w:rsid w:val="00A42C34"/>
    <w:rsid w:val="00A42C5F"/>
    <w:rsid w:val="00A42E58"/>
    <w:rsid w:val="00A44E15"/>
    <w:rsid w:val="00A45888"/>
    <w:rsid w:val="00A462CD"/>
    <w:rsid w:val="00A46C7A"/>
    <w:rsid w:val="00A47077"/>
    <w:rsid w:val="00A52841"/>
    <w:rsid w:val="00A53B09"/>
    <w:rsid w:val="00A54AF5"/>
    <w:rsid w:val="00A55A29"/>
    <w:rsid w:val="00A56395"/>
    <w:rsid w:val="00A60462"/>
    <w:rsid w:val="00A62DA6"/>
    <w:rsid w:val="00A66BBE"/>
    <w:rsid w:val="00A702AD"/>
    <w:rsid w:val="00A7278C"/>
    <w:rsid w:val="00A72862"/>
    <w:rsid w:val="00A746D1"/>
    <w:rsid w:val="00A76BBA"/>
    <w:rsid w:val="00A772FB"/>
    <w:rsid w:val="00A80E9A"/>
    <w:rsid w:val="00A83CBF"/>
    <w:rsid w:val="00A84924"/>
    <w:rsid w:val="00A84C94"/>
    <w:rsid w:val="00A84F80"/>
    <w:rsid w:val="00A8559F"/>
    <w:rsid w:val="00A855AF"/>
    <w:rsid w:val="00A85B2E"/>
    <w:rsid w:val="00A905E5"/>
    <w:rsid w:val="00A90702"/>
    <w:rsid w:val="00A90929"/>
    <w:rsid w:val="00A90E7E"/>
    <w:rsid w:val="00A9295E"/>
    <w:rsid w:val="00A937B4"/>
    <w:rsid w:val="00A944FD"/>
    <w:rsid w:val="00A9584E"/>
    <w:rsid w:val="00A9648F"/>
    <w:rsid w:val="00A9715A"/>
    <w:rsid w:val="00AA6697"/>
    <w:rsid w:val="00AB149E"/>
    <w:rsid w:val="00AB217F"/>
    <w:rsid w:val="00AB2811"/>
    <w:rsid w:val="00AB29A0"/>
    <w:rsid w:val="00AB2FCE"/>
    <w:rsid w:val="00AB3463"/>
    <w:rsid w:val="00AB47D6"/>
    <w:rsid w:val="00AB4E59"/>
    <w:rsid w:val="00AB54BB"/>
    <w:rsid w:val="00AB598D"/>
    <w:rsid w:val="00AB5B85"/>
    <w:rsid w:val="00AC1765"/>
    <w:rsid w:val="00AC1E66"/>
    <w:rsid w:val="00AC3AF6"/>
    <w:rsid w:val="00AC4029"/>
    <w:rsid w:val="00AC5259"/>
    <w:rsid w:val="00AC58FD"/>
    <w:rsid w:val="00AC679E"/>
    <w:rsid w:val="00AC7A14"/>
    <w:rsid w:val="00AC7FA8"/>
    <w:rsid w:val="00AD014C"/>
    <w:rsid w:val="00AD043D"/>
    <w:rsid w:val="00AD0C8A"/>
    <w:rsid w:val="00AD25E5"/>
    <w:rsid w:val="00AD2621"/>
    <w:rsid w:val="00AD3ED6"/>
    <w:rsid w:val="00AD4332"/>
    <w:rsid w:val="00AD75DE"/>
    <w:rsid w:val="00AE0E67"/>
    <w:rsid w:val="00AE0FA9"/>
    <w:rsid w:val="00AE1404"/>
    <w:rsid w:val="00AE1B01"/>
    <w:rsid w:val="00AE2173"/>
    <w:rsid w:val="00AE7006"/>
    <w:rsid w:val="00AF0456"/>
    <w:rsid w:val="00AF07E5"/>
    <w:rsid w:val="00AF07F3"/>
    <w:rsid w:val="00AF1D02"/>
    <w:rsid w:val="00AF3CD9"/>
    <w:rsid w:val="00AF511C"/>
    <w:rsid w:val="00AF6188"/>
    <w:rsid w:val="00B002D4"/>
    <w:rsid w:val="00B00D92"/>
    <w:rsid w:val="00B04417"/>
    <w:rsid w:val="00B04EE0"/>
    <w:rsid w:val="00B061F1"/>
    <w:rsid w:val="00B10C1E"/>
    <w:rsid w:val="00B152D4"/>
    <w:rsid w:val="00B15E80"/>
    <w:rsid w:val="00B1751D"/>
    <w:rsid w:val="00B2108E"/>
    <w:rsid w:val="00B22A3F"/>
    <w:rsid w:val="00B23722"/>
    <w:rsid w:val="00B2392F"/>
    <w:rsid w:val="00B2416E"/>
    <w:rsid w:val="00B24345"/>
    <w:rsid w:val="00B2704A"/>
    <w:rsid w:val="00B27111"/>
    <w:rsid w:val="00B31CF7"/>
    <w:rsid w:val="00B33898"/>
    <w:rsid w:val="00B34ABB"/>
    <w:rsid w:val="00B3548C"/>
    <w:rsid w:val="00B3581D"/>
    <w:rsid w:val="00B35CE4"/>
    <w:rsid w:val="00B362F2"/>
    <w:rsid w:val="00B37DC7"/>
    <w:rsid w:val="00B421B6"/>
    <w:rsid w:val="00B42566"/>
    <w:rsid w:val="00B430B4"/>
    <w:rsid w:val="00B4751D"/>
    <w:rsid w:val="00B5082D"/>
    <w:rsid w:val="00B51AE3"/>
    <w:rsid w:val="00B52EC4"/>
    <w:rsid w:val="00B5346F"/>
    <w:rsid w:val="00B569E8"/>
    <w:rsid w:val="00B57072"/>
    <w:rsid w:val="00B6084E"/>
    <w:rsid w:val="00B615E0"/>
    <w:rsid w:val="00B64C73"/>
    <w:rsid w:val="00B6504E"/>
    <w:rsid w:val="00B65AE8"/>
    <w:rsid w:val="00B6728E"/>
    <w:rsid w:val="00B67851"/>
    <w:rsid w:val="00B70E4A"/>
    <w:rsid w:val="00B751E7"/>
    <w:rsid w:val="00B7681C"/>
    <w:rsid w:val="00B76F25"/>
    <w:rsid w:val="00B771B6"/>
    <w:rsid w:val="00B77D99"/>
    <w:rsid w:val="00B80925"/>
    <w:rsid w:val="00B82034"/>
    <w:rsid w:val="00B83450"/>
    <w:rsid w:val="00B83DDC"/>
    <w:rsid w:val="00B84594"/>
    <w:rsid w:val="00B8505C"/>
    <w:rsid w:val="00B9205E"/>
    <w:rsid w:val="00B92512"/>
    <w:rsid w:val="00B92542"/>
    <w:rsid w:val="00B93951"/>
    <w:rsid w:val="00B94614"/>
    <w:rsid w:val="00B94BBB"/>
    <w:rsid w:val="00B9508F"/>
    <w:rsid w:val="00B95983"/>
    <w:rsid w:val="00B96502"/>
    <w:rsid w:val="00B96937"/>
    <w:rsid w:val="00B96D2A"/>
    <w:rsid w:val="00B96FFE"/>
    <w:rsid w:val="00BA1EC9"/>
    <w:rsid w:val="00BA1FBA"/>
    <w:rsid w:val="00BA3960"/>
    <w:rsid w:val="00BA56A1"/>
    <w:rsid w:val="00BA686C"/>
    <w:rsid w:val="00BB25FF"/>
    <w:rsid w:val="00BB41EB"/>
    <w:rsid w:val="00BB42B3"/>
    <w:rsid w:val="00BB4D7B"/>
    <w:rsid w:val="00BB567D"/>
    <w:rsid w:val="00BB6246"/>
    <w:rsid w:val="00BC225D"/>
    <w:rsid w:val="00BC22A9"/>
    <w:rsid w:val="00BC23CE"/>
    <w:rsid w:val="00BC24ED"/>
    <w:rsid w:val="00BC26CD"/>
    <w:rsid w:val="00BC2E3D"/>
    <w:rsid w:val="00BC525C"/>
    <w:rsid w:val="00BC590D"/>
    <w:rsid w:val="00BC70CC"/>
    <w:rsid w:val="00BC7BA4"/>
    <w:rsid w:val="00BD0C1C"/>
    <w:rsid w:val="00BD2FEF"/>
    <w:rsid w:val="00BD395C"/>
    <w:rsid w:val="00BE2E78"/>
    <w:rsid w:val="00BE4FCF"/>
    <w:rsid w:val="00BE59AA"/>
    <w:rsid w:val="00BE6870"/>
    <w:rsid w:val="00BE69D0"/>
    <w:rsid w:val="00BE6BF8"/>
    <w:rsid w:val="00BE6E92"/>
    <w:rsid w:val="00BE6FC6"/>
    <w:rsid w:val="00BF0C36"/>
    <w:rsid w:val="00BF1C79"/>
    <w:rsid w:val="00BF293F"/>
    <w:rsid w:val="00BF336C"/>
    <w:rsid w:val="00BF3770"/>
    <w:rsid w:val="00BF3E5E"/>
    <w:rsid w:val="00BF6F7E"/>
    <w:rsid w:val="00BF75C7"/>
    <w:rsid w:val="00C0166A"/>
    <w:rsid w:val="00C018F6"/>
    <w:rsid w:val="00C02EC4"/>
    <w:rsid w:val="00C04E8E"/>
    <w:rsid w:val="00C06E26"/>
    <w:rsid w:val="00C07821"/>
    <w:rsid w:val="00C1044D"/>
    <w:rsid w:val="00C1107D"/>
    <w:rsid w:val="00C11BAD"/>
    <w:rsid w:val="00C14867"/>
    <w:rsid w:val="00C1526A"/>
    <w:rsid w:val="00C1569A"/>
    <w:rsid w:val="00C15E95"/>
    <w:rsid w:val="00C16867"/>
    <w:rsid w:val="00C16D63"/>
    <w:rsid w:val="00C173F9"/>
    <w:rsid w:val="00C17ECF"/>
    <w:rsid w:val="00C2169F"/>
    <w:rsid w:val="00C217E3"/>
    <w:rsid w:val="00C23329"/>
    <w:rsid w:val="00C24646"/>
    <w:rsid w:val="00C24A3F"/>
    <w:rsid w:val="00C24B43"/>
    <w:rsid w:val="00C258D7"/>
    <w:rsid w:val="00C266EA"/>
    <w:rsid w:val="00C26B4F"/>
    <w:rsid w:val="00C2782C"/>
    <w:rsid w:val="00C27B31"/>
    <w:rsid w:val="00C310A8"/>
    <w:rsid w:val="00C3144E"/>
    <w:rsid w:val="00C31791"/>
    <w:rsid w:val="00C323C9"/>
    <w:rsid w:val="00C325DF"/>
    <w:rsid w:val="00C332DB"/>
    <w:rsid w:val="00C335F5"/>
    <w:rsid w:val="00C341C8"/>
    <w:rsid w:val="00C40D51"/>
    <w:rsid w:val="00C41CAE"/>
    <w:rsid w:val="00C422C9"/>
    <w:rsid w:val="00C44D57"/>
    <w:rsid w:val="00C45EEB"/>
    <w:rsid w:val="00C46DE5"/>
    <w:rsid w:val="00C47492"/>
    <w:rsid w:val="00C51167"/>
    <w:rsid w:val="00C51278"/>
    <w:rsid w:val="00C54E06"/>
    <w:rsid w:val="00C570E1"/>
    <w:rsid w:val="00C57202"/>
    <w:rsid w:val="00C5748F"/>
    <w:rsid w:val="00C605DF"/>
    <w:rsid w:val="00C60657"/>
    <w:rsid w:val="00C61C1C"/>
    <w:rsid w:val="00C62DBD"/>
    <w:rsid w:val="00C63009"/>
    <w:rsid w:val="00C633F2"/>
    <w:rsid w:val="00C6498B"/>
    <w:rsid w:val="00C663B0"/>
    <w:rsid w:val="00C66755"/>
    <w:rsid w:val="00C714FE"/>
    <w:rsid w:val="00C71C8E"/>
    <w:rsid w:val="00C74FD0"/>
    <w:rsid w:val="00C76D7B"/>
    <w:rsid w:val="00C76EE7"/>
    <w:rsid w:val="00C7779C"/>
    <w:rsid w:val="00C77DF7"/>
    <w:rsid w:val="00C820F3"/>
    <w:rsid w:val="00C84248"/>
    <w:rsid w:val="00C84475"/>
    <w:rsid w:val="00C8454C"/>
    <w:rsid w:val="00C8533B"/>
    <w:rsid w:val="00C853CD"/>
    <w:rsid w:val="00C85EE0"/>
    <w:rsid w:val="00C862EC"/>
    <w:rsid w:val="00C86D85"/>
    <w:rsid w:val="00C91AD4"/>
    <w:rsid w:val="00C91B20"/>
    <w:rsid w:val="00C92346"/>
    <w:rsid w:val="00C92AA0"/>
    <w:rsid w:val="00C94D9A"/>
    <w:rsid w:val="00C94FBF"/>
    <w:rsid w:val="00C9776C"/>
    <w:rsid w:val="00C97B20"/>
    <w:rsid w:val="00CA1279"/>
    <w:rsid w:val="00CA14EC"/>
    <w:rsid w:val="00CA412F"/>
    <w:rsid w:val="00CA5C1F"/>
    <w:rsid w:val="00CA61D4"/>
    <w:rsid w:val="00CA6F11"/>
    <w:rsid w:val="00CA7394"/>
    <w:rsid w:val="00CA75F6"/>
    <w:rsid w:val="00CB33DF"/>
    <w:rsid w:val="00CB3FC3"/>
    <w:rsid w:val="00CC0BE2"/>
    <w:rsid w:val="00CC0D04"/>
    <w:rsid w:val="00CC2C6D"/>
    <w:rsid w:val="00CC342E"/>
    <w:rsid w:val="00CC6322"/>
    <w:rsid w:val="00CC7B9C"/>
    <w:rsid w:val="00CC7F94"/>
    <w:rsid w:val="00CD0DF0"/>
    <w:rsid w:val="00CD1CB0"/>
    <w:rsid w:val="00CD5714"/>
    <w:rsid w:val="00CD62D8"/>
    <w:rsid w:val="00CE262C"/>
    <w:rsid w:val="00CE40C6"/>
    <w:rsid w:val="00CE5C53"/>
    <w:rsid w:val="00CE769D"/>
    <w:rsid w:val="00CE7AB6"/>
    <w:rsid w:val="00CF17CA"/>
    <w:rsid w:val="00CF2F20"/>
    <w:rsid w:val="00CF73BA"/>
    <w:rsid w:val="00CF7D37"/>
    <w:rsid w:val="00D00475"/>
    <w:rsid w:val="00D0360E"/>
    <w:rsid w:val="00D03AE6"/>
    <w:rsid w:val="00D04F0A"/>
    <w:rsid w:val="00D0585F"/>
    <w:rsid w:val="00D05DE9"/>
    <w:rsid w:val="00D07ED0"/>
    <w:rsid w:val="00D10F33"/>
    <w:rsid w:val="00D147B8"/>
    <w:rsid w:val="00D152B9"/>
    <w:rsid w:val="00D15F8B"/>
    <w:rsid w:val="00D202CC"/>
    <w:rsid w:val="00D20506"/>
    <w:rsid w:val="00D217EA"/>
    <w:rsid w:val="00D217EC"/>
    <w:rsid w:val="00D22479"/>
    <w:rsid w:val="00D228D6"/>
    <w:rsid w:val="00D238FA"/>
    <w:rsid w:val="00D243BB"/>
    <w:rsid w:val="00D249C7"/>
    <w:rsid w:val="00D24BB1"/>
    <w:rsid w:val="00D25933"/>
    <w:rsid w:val="00D272D4"/>
    <w:rsid w:val="00D3184A"/>
    <w:rsid w:val="00D32258"/>
    <w:rsid w:val="00D326A9"/>
    <w:rsid w:val="00D33C73"/>
    <w:rsid w:val="00D33EF8"/>
    <w:rsid w:val="00D3407D"/>
    <w:rsid w:val="00D375B4"/>
    <w:rsid w:val="00D3786F"/>
    <w:rsid w:val="00D3795E"/>
    <w:rsid w:val="00D404BE"/>
    <w:rsid w:val="00D42FEE"/>
    <w:rsid w:val="00D44CA4"/>
    <w:rsid w:val="00D45A61"/>
    <w:rsid w:val="00D45E68"/>
    <w:rsid w:val="00D4669F"/>
    <w:rsid w:val="00D46EED"/>
    <w:rsid w:val="00D50015"/>
    <w:rsid w:val="00D50304"/>
    <w:rsid w:val="00D542D9"/>
    <w:rsid w:val="00D552FB"/>
    <w:rsid w:val="00D56FAB"/>
    <w:rsid w:val="00D57289"/>
    <w:rsid w:val="00D608AC"/>
    <w:rsid w:val="00D60C18"/>
    <w:rsid w:val="00D661F8"/>
    <w:rsid w:val="00D66542"/>
    <w:rsid w:val="00D66E2C"/>
    <w:rsid w:val="00D67E1B"/>
    <w:rsid w:val="00D701B4"/>
    <w:rsid w:val="00D707B2"/>
    <w:rsid w:val="00D730AE"/>
    <w:rsid w:val="00D73481"/>
    <w:rsid w:val="00D73635"/>
    <w:rsid w:val="00D7694B"/>
    <w:rsid w:val="00D77F7B"/>
    <w:rsid w:val="00D804A6"/>
    <w:rsid w:val="00D80501"/>
    <w:rsid w:val="00D82525"/>
    <w:rsid w:val="00D82A6A"/>
    <w:rsid w:val="00D82B49"/>
    <w:rsid w:val="00D855E3"/>
    <w:rsid w:val="00D86153"/>
    <w:rsid w:val="00D879F8"/>
    <w:rsid w:val="00D90D86"/>
    <w:rsid w:val="00D91B5E"/>
    <w:rsid w:val="00D94CC1"/>
    <w:rsid w:val="00D96141"/>
    <w:rsid w:val="00D96AE7"/>
    <w:rsid w:val="00DA3234"/>
    <w:rsid w:val="00DA4BD1"/>
    <w:rsid w:val="00DA5CAE"/>
    <w:rsid w:val="00DB0D85"/>
    <w:rsid w:val="00DB26CE"/>
    <w:rsid w:val="00DB2F7E"/>
    <w:rsid w:val="00DB31AF"/>
    <w:rsid w:val="00DB3CEA"/>
    <w:rsid w:val="00DB580B"/>
    <w:rsid w:val="00DB6E2D"/>
    <w:rsid w:val="00DB743D"/>
    <w:rsid w:val="00DC24EA"/>
    <w:rsid w:val="00DC2AB9"/>
    <w:rsid w:val="00DC38FB"/>
    <w:rsid w:val="00DC493E"/>
    <w:rsid w:val="00DC5DDD"/>
    <w:rsid w:val="00DC6744"/>
    <w:rsid w:val="00DD000A"/>
    <w:rsid w:val="00DD0DC2"/>
    <w:rsid w:val="00DD4A74"/>
    <w:rsid w:val="00DD5DD8"/>
    <w:rsid w:val="00DE171B"/>
    <w:rsid w:val="00DE22CC"/>
    <w:rsid w:val="00DE2B28"/>
    <w:rsid w:val="00DF0E45"/>
    <w:rsid w:val="00DF1DFF"/>
    <w:rsid w:val="00DF207D"/>
    <w:rsid w:val="00DF3DB3"/>
    <w:rsid w:val="00DF3E86"/>
    <w:rsid w:val="00DF44C3"/>
    <w:rsid w:val="00DF5A83"/>
    <w:rsid w:val="00DF6004"/>
    <w:rsid w:val="00DF6BA4"/>
    <w:rsid w:val="00DF7D98"/>
    <w:rsid w:val="00E00CBC"/>
    <w:rsid w:val="00E01FD1"/>
    <w:rsid w:val="00E0256D"/>
    <w:rsid w:val="00E02680"/>
    <w:rsid w:val="00E05755"/>
    <w:rsid w:val="00E05FF2"/>
    <w:rsid w:val="00E12001"/>
    <w:rsid w:val="00E12881"/>
    <w:rsid w:val="00E13E84"/>
    <w:rsid w:val="00E13F68"/>
    <w:rsid w:val="00E1438D"/>
    <w:rsid w:val="00E17E3A"/>
    <w:rsid w:val="00E22404"/>
    <w:rsid w:val="00E238B6"/>
    <w:rsid w:val="00E24C0F"/>
    <w:rsid w:val="00E2597F"/>
    <w:rsid w:val="00E26493"/>
    <w:rsid w:val="00E26C56"/>
    <w:rsid w:val="00E33853"/>
    <w:rsid w:val="00E35CF0"/>
    <w:rsid w:val="00E368BB"/>
    <w:rsid w:val="00E370C3"/>
    <w:rsid w:val="00E4055C"/>
    <w:rsid w:val="00E41C41"/>
    <w:rsid w:val="00E4270C"/>
    <w:rsid w:val="00E434D1"/>
    <w:rsid w:val="00E43C0C"/>
    <w:rsid w:val="00E442BF"/>
    <w:rsid w:val="00E45038"/>
    <w:rsid w:val="00E45D45"/>
    <w:rsid w:val="00E46E1A"/>
    <w:rsid w:val="00E47932"/>
    <w:rsid w:val="00E534C6"/>
    <w:rsid w:val="00E53D71"/>
    <w:rsid w:val="00E57DC7"/>
    <w:rsid w:val="00E6078B"/>
    <w:rsid w:val="00E60A48"/>
    <w:rsid w:val="00E60ADF"/>
    <w:rsid w:val="00E62FD2"/>
    <w:rsid w:val="00E64A82"/>
    <w:rsid w:val="00E64B2A"/>
    <w:rsid w:val="00E64CDF"/>
    <w:rsid w:val="00E64E2B"/>
    <w:rsid w:val="00E654C1"/>
    <w:rsid w:val="00E657F7"/>
    <w:rsid w:val="00E66240"/>
    <w:rsid w:val="00E664FB"/>
    <w:rsid w:val="00E6725D"/>
    <w:rsid w:val="00E672E6"/>
    <w:rsid w:val="00E67974"/>
    <w:rsid w:val="00E67D97"/>
    <w:rsid w:val="00E74BFA"/>
    <w:rsid w:val="00E75ED1"/>
    <w:rsid w:val="00E7712A"/>
    <w:rsid w:val="00E805E8"/>
    <w:rsid w:val="00E81951"/>
    <w:rsid w:val="00E84F13"/>
    <w:rsid w:val="00E87051"/>
    <w:rsid w:val="00E87F81"/>
    <w:rsid w:val="00E941D2"/>
    <w:rsid w:val="00E94E88"/>
    <w:rsid w:val="00E9627F"/>
    <w:rsid w:val="00EA08ED"/>
    <w:rsid w:val="00EA20AB"/>
    <w:rsid w:val="00EA55A3"/>
    <w:rsid w:val="00EA5DCB"/>
    <w:rsid w:val="00EB0710"/>
    <w:rsid w:val="00EB52CE"/>
    <w:rsid w:val="00EB5CF2"/>
    <w:rsid w:val="00EB603A"/>
    <w:rsid w:val="00EC12BD"/>
    <w:rsid w:val="00EC224F"/>
    <w:rsid w:val="00EC4A34"/>
    <w:rsid w:val="00EC6CC9"/>
    <w:rsid w:val="00ED2068"/>
    <w:rsid w:val="00ED2393"/>
    <w:rsid w:val="00ED3B5D"/>
    <w:rsid w:val="00ED7096"/>
    <w:rsid w:val="00EE28E4"/>
    <w:rsid w:val="00EE4C34"/>
    <w:rsid w:val="00EE7172"/>
    <w:rsid w:val="00EF0F9B"/>
    <w:rsid w:val="00EF111B"/>
    <w:rsid w:val="00EF1D4D"/>
    <w:rsid w:val="00EF2F97"/>
    <w:rsid w:val="00EF3250"/>
    <w:rsid w:val="00EF4A6A"/>
    <w:rsid w:val="00EF55B3"/>
    <w:rsid w:val="00EF6DF9"/>
    <w:rsid w:val="00F002D7"/>
    <w:rsid w:val="00F003C5"/>
    <w:rsid w:val="00F026FA"/>
    <w:rsid w:val="00F03713"/>
    <w:rsid w:val="00F03D4D"/>
    <w:rsid w:val="00F03D86"/>
    <w:rsid w:val="00F03EC2"/>
    <w:rsid w:val="00F04812"/>
    <w:rsid w:val="00F04F1C"/>
    <w:rsid w:val="00F05EEC"/>
    <w:rsid w:val="00F0605D"/>
    <w:rsid w:val="00F0634C"/>
    <w:rsid w:val="00F101DE"/>
    <w:rsid w:val="00F10FFC"/>
    <w:rsid w:val="00F11662"/>
    <w:rsid w:val="00F12D90"/>
    <w:rsid w:val="00F139CB"/>
    <w:rsid w:val="00F14AB7"/>
    <w:rsid w:val="00F15AF7"/>
    <w:rsid w:val="00F176B7"/>
    <w:rsid w:val="00F2017D"/>
    <w:rsid w:val="00F22484"/>
    <w:rsid w:val="00F23AA3"/>
    <w:rsid w:val="00F24286"/>
    <w:rsid w:val="00F24E3F"/>
    <w:rsid w:val="00F25AB4"/>
    <w:rsid w:val="00F26552"/>
    <w:rsid w:val="00F2770A"/>
    <w:rsid w:val="00F27ABB"/>
    <w:rsid w:val="00F3314E"/>
    <w:rsid w:val="00F34E84"/>
    <w:rsid w:val="00F379D2"/>
    <w:rsid w:val="00F37F63"/>
    <w:rsid w:val="00F41122"/>
    <w:rsid w:val="00F4130A"/>
    <w:rsid w:val="00F42929"/>
    <w:rsid w:val="00F43950"/>
    <w:rsid w:val="00F43A15"/>
    <w:rsid w:val="00F44D1C"/>
    <w:rsid w:val="00F45445"/>
    <w:rsid w:val="00F46870"/>
    <w:rsid w:val="00F46946"/>
    <w:rsid w:val="00F50504"/>
    <w:rsid w:val="00F51073"/>
    <w:rsid w:val="00F540A8"/>
    <w:rsid w:val="00F5428A"/>
    <w:rsid w:val="00F5561D"/>
    <w:rsid w:val="00F55844"/>
    <w:rsid w:val="00F575CE"/>
    <w:rsid w:val="00F6027B"/>
    <w:rsid w:val="00F60FAF"/>
    <w:rsid w:val="00F61C89"/>
    <w:rsid w:val="00F63834"/>
    <w:rsid w:val="00F64D89"/>
    <w:rsid w:val="00F659AA"/>
    <w:rsid w:val="00F70280"/>
    <w:rsid w:val="00F70313"/>
    <w:rsid w:val="00F705C3"/>
    <w:rsid w:val="00F71966"/>
    <w:rsid w:val="00F7217F"/>
    <w:rsid w:val="00F72B4D"/>
    <w:rsid w:val="00F74C02"/>
    <w:rsid w:val="00F7623C"/>
    <w:rsid w:val="00F77846"/>
    <w:rsid w:val="00F80015"/>
    <w:rsid w:val="00F80335"/>
    <w:rsid w:val="00F83A31"/>
    <w:rsid w:val="00F8461A"/>
    <w:rsid w:val="00F85EED"/>
    <w:rsid w:val="00F86275"/>
    <w:rsid w:val="00F86625"/>
    <w:rsid w:val="00F9101E"/>
    <w:rsid w:val="00F91684"/>
    <w:rsid w:val="00F91AEA"/>
    <w:rsid w:val="00F92534"/>
    <w:rsid w:val="00F93706"/>
    <w:rsid w:val="00F93746"/>
    <w:rsid w:val="00F94967"/>
    <w:rsid w:val="00F94DEC"/>
    <w:rsid w:val="00F96C46"/>
    <w:rsid w:val="00FA0089"/>
    <w:rsid w:val="00FA0340"/>
    <w:rsid w:val="00FA176D"/>
    <w:rsid w:val="00FA2393"/>
    <w:rsid w:val="00FA2998"/>
    <w:rsid w:val="00FA3B0F"/>
    <w:rsid w:val="00FA6373"/>
    <w:rsid w:val="00FA6475"/>
    <w:rsid w:val="00FA7888"/>
    <w:rsid w:val="00FB0BF2"/>
    <w:rsid w:val="00FB1FE9"/>
    <w:rsid w:val="00FB2CC2"/>
    <w:rsid w:val="00FB5807"/>
    <w:rsid w:val="00FB585F"/>
    <w:rsid w:val="00FB5A8D"/>
    <w:rsid w:val="00FC03FC"/>
    <w:rsid w:val="00FC0EC1"/>
    <w:rsid w:val="00FC1152"/>
    <w:rsid w:val="00FC3420"/>
    <w:rsid w:val="00FC4A19"/>
    <w:rsid w:val="00FC4E3D"/>
    <w:rsid w:val="00FC511D"/>
    <w:rsid w:val="00FC5181"/>
    <w:rsid w:val="00FC5C5C"/>
    <w:rsid w:val="00FC64E0"/>
    <w:rsid w:val="00FC6B3E"/>
    <w:rsid w:val="00FC7348"/>
    <w:rsid w:val="00FC7C83"/>
    <w:rsid w:val="00FC7F59"/>
    <w:rsid w:val="00FD18B1"/>
    <w:rsid w:val="00FD19E8"/>
    <w:rsid w:val="00FD22D2"/>
    <w:rsid w:val="00FD7291"/>
    <w:rsid w:val="00FE09A1"/>
    <w:rsid w:val="00FE2C9C"/>
    <w:rsid w:val="00FE2ED6"/>
    <w:rsid w:val="00FE5716"/>
    <w:rsid w:val="00FE5D0E"/>
    <w:rsid w:val="00FE7518"/>
    <w:rsid w:val="00FE79AE"/>
    <w:rsid w:val="00FF1AA2"/>
    <w:rsid w:val="00FF3013"/>
    <w:rsid w:val="00FF57F0"/>
    <w:rsid w:val="00FF69B8"/>
    <w:rsid w:val="00FF72A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E0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E0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760954217">
      <w:bodyDiv w:val="1"/>
      <w:marLeft w:val="0"/>
      <w:marRight w:val="0"/>
      <w:marTop w:val="0"/>
      <w:marBottom w:val="0"/>
      <w:divBdr>
        <w:top w:val="none" w:sz="0" w:space="0" w:color="auto"/>
        <w:left w:val="none" w:sz="0" w:space="0" w:color="auto"/>
        <w:bottom w:val="none" w:sz="0" w:space="0" w:color="auto"/>
        <w:right w:val="none" w:sz="0" w:space="0" w:color="auto"/>
      </w:divBdr>
    </w:div>
    <w:div w:id="994649037">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B697B"/>
    <w:rsid w:val="001C729D"/>
    <w:rsid w:val="001F06EB"/>
    <w:rsid w:val="002B55D2"/>
    <w:rsid w:val="003531BE"/>
    <w:rsid w:val="00491717"/>
    <w:rsid w:val="00572E24"/>
    <w:rsid w:val="006D2201"/>
    <w:rsid w:val="00705B33"/>
    <w:rsid w:val="0072258B"/>
    <w:rsid w:val="007752DF"/>
    <w:rsid w:val="00795A2C"/>
    <w:rsid w:val="007B5A3D"/>
    <w:rsid w:val="008B0DC0"/>
    <w:rsid w:val="009F23AE"/>
    <w:rsid w:val="00C1191D"/>
    <w:rsid w:val="00D55EEA"/>
    <w:rsid w:val="00E66A90"/>
    <w:rsid w:val="00E84A05"/>
    <w:rsid w:val="00EB0B7B"/>
    <w:rsid w:val="00EC1A6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23</Pages>
  <Words>5213</Words>
  <Characters>31804</Characters>
  <Application>Microsoft Office Word</Application>
  <DocSecurity>0</DocSecurity>
  <Lines>265</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2014-12-10T14:06:00Z</dcterms:created>
  <dcterms:modified xsi:type="dcterms:W3CDTF">2014-12-15T09:39:00Z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path">
    <vt:lpwstr>C:\Users\w07704\AppData\Local\Temp\Scanjour\Captia\SJ20141215093320440 [DOK75155855].DOCX</vt:lpwstr>
  </property>
  <property fmtid="{D5CDD505-2E9C-101B-9397-08002B2CF9AE}" pid="4" name="title">
    <vt:lpwstr>Høringsskema - ver. 2 (DOK75155855)</vt:lpwstr>
  </property>
  <property fmtid="{D5CDD505-2E9C-101B-9397-08002B2CF9AE}" pid="5" name="command">
    <vt:lpwstr>&amp;x_infomerge=1</vt:lpwstr>
  </property>
</Properties>
</file>